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rPr>
          <w:rFonts w:ascii="宋体" w:hAnsi="宋体" w:cs="宋体"/>
          <w:b/>
          <w:color w:val="auto"/>
          <w:szCs w:val="21"/>
          <w:highlight w:val="none"/>
        </w:rPr>
      </w:pPr>
      <w:r>
        <w:rPr>
          <w:rFonts w:ascii="宋体" w:hAnsi="宋体" w:cs="宋体"/>
          <w:b/>
          <w:color w:val="auto"/>
          <w:szCs w:val="21"/>
          <w:highlight w:val="none"/>
        </w:rPr>
      </w:r>
      <w:r/>
    </w:p>
    <w:p>
      <w:pPr>
        <w:pStyle w:val="975"/>
        <w:rPr>
          <w:rFonts w:ascii="宋体" w:hAnsi="宋体" w:cs="宋体"/>
          <w:b/>
          <w:color w:val="auto"/>
          <w:szCs w:val="21"/>
          <w:highlight w:val="none"/>
        </w:rPr>
      </w:pPr>
      <w:r>
        <w:rPr>
          <w:rFonts w:ascii="宋体" w:hAnsi="宋体" w:cs="宋体"/>
          <w:b/>
          <w:color w:val="auto"/>
          <w:szCs w:val="21"/>
          <w:highlight w:val="none"/>
        </w:rPr>
      </w:r>
      <w:r/>
    </w:p>
    <w:p>
      <w:pPr>
        <w:pStyle w:val="975"/>
        <w:rPr>
          <w:rFonts w:ascii="宋体" w:hAnsi="宋体" w:cs="宋体"/>
          <w:b/>
          <w:color w:val="auto"/>
          <w:szCs w:val="21"/>
          <w:highlight w:val="none"/>
        </w:rPr>
      </w:pPr>
      <w:r>
        <w:rPr>
          <w:rFonts w:ascii="宋体" w:hAnsi="宋体" w:cs="宋体"/>
          <w:b/>
          <w:color w:val="auto"/>
          <w:szCs w:val="21"/>
          <w:highlight w:val="none"/>
        </w:rPr>
      </w:r>
      <w:r/>
    </w:p>
    <w:p>
      <w:pPr>
        <w:pStyle w:val="975"/>
        <w:rPr>
          <w:rFonts w:ascii="宋体" w:hAnsi="宋体" w:cs="宋体"/>
          <w:b/>
          <w:color w:val="auto"/>
          <w:szCs w:val="21"/>
          <w:highlight w:val="none"/>
        </w:rPr>
      </w:pPr>
      <w:r>
        <w:rPr>
          <w:rFonts w:ascii="宋体" w:hAnsi="宋体" w:cs="宋体"/>
          <w:b/>
          <w:color w:val="auto"/>
          <w:szCs w:val="21"/>
          <w:highlight w:val="none"/>
        </w:rPr>
      </w:r>
      <w:r/>
    </w:p>
    <w:p>
      <w:pPr>
        <w:pStyle w:val="975"/>
        <w:rPr>
          <w:rFonts w:ascii="宋体" w:hAnsi="宋体" w:cs="宋体"/>
          <w:b/>
          <w:color w:val="auto"/>
          <w:szCs w:val="21"/>
          <w:highlight w:val="none"/>
        </w:rPr>
      </w:pPr>
      <w:r>
        <w:rPr>
          <w:rFonts w:ascii="宋体" w:hAnsi="宋体" w:cs="宋体"/>
          <w:b/>
          <w:color w:val="auto"/>
          <w:szCs w:val="21"/>
          <w:highlight w:val="none"/>
        </w:rPr>
      </w:r>
      <w:r/>
    </w:p>
    <w:p>
      <w:pPr>
        <w:pStyle w:val="975"/>
        <w:rPr>
          <w:rFonts w:ascii="宋体" w:hAnsi="宋体" w:cs="宋体"/>
          <w:b/>
          <w:color w:val="auto"/>
          <w:szCs w:val="21"/>
          <w:highlight w:val="none"/>
        </w:rPr>
      </w:pPr>
      <w:r>
        <w:rPr>
          <w:rFonts w:ascii="宋体" w:hAnsi="宋体" w:cs="宋体"/>
          <w:b/>
          <w:color w:val="auto"/>
          <w:szCs w:val="21"/>
          <w:highlight w:val="none"/>
        </w:rPr>
      </w:r>
      <w:r/>
    </w:p>
    <w:p>
      <w:pPr>
        <w:pStyle w:val="974"/>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974"/>
        <w:rPr>
          <w:rFonts w:ascii="宋体" w:hAnsi="宋体" w:cs="宋体"/>
          <w:color w:val="auto"/>
          <w:highlight w:val="none"/>
        </w:rPr>
      </w:pPr>
      <w:r>
        <w:rPr>
          <w:rFonts w:ascii="宋体" w:hAnsi="宋体" w:cs="宋体"/>
          <w:color w:val="auto"/>
          <w:highlight w:val="none"/>
        </w:rPr>
      </w:r>
      <w:r/>
    </w:p>
    <w:p>
      <w:pPr>
        <w:pStyle w:val="974"/>
        <w:ind w:left="0"/>
        <w:rPr>
          <w:rFonts w:ascii="宋体" w:hAnsi="宋体" w:cs="宋体"/>
          <w:color w:val="auto"/>
          <w:highlight w:val="none"/>
        </w:rPr>
      </w:pPr>
      <w:r>
        <w:rPr>
          <w:rFonts w:ascii="宋体" w:hAnsi="宋体" w:cs="宋体"/>
          <w:color w:val="auto"/>
          <w:highlight w:val="none"/>
        </w:rPr>
      </w:r>
      <w:r/>
    </w:p>
    <w:p>
      <w:pPr>
        <w:pStyle w:val="975"/>
        <w:jc w:val="center"/>
        <w:rPr>
          <w:rFonts w:ascii="宋体" w:hAnsi="宋体" w:cs="宋体"/>
          <w:b/>
          <w:bCs/>
          <w:color w:val="auto"/>
          <w:sz w:val="28"/>
          <w:szCs w:val="28"/>
          <w:highlight w:val="none"/>
        </w:rPr>
      </w:pPr>
      <w:r>
        <w:rPr>
          <w:rFonts w:ascii="宋体" w:hAnsi="宋体"/>
          <w:b/>
          <w:color w:val="auto"/>
          <w:szCs w:val="21"/>
          <w:highlight w:val="none"/>
        </w:rPr>
        <mc:AlternateContent>
          <mc:Choice Requires="wpg">
            <w:drawing>
              <wp:inline xmlns:wp="http://schemas.openxmlformats.org/drawingml/2006/wordprocessingDrawing" distT="0" distB="0" distL="0" distR="0">
                <wp:extent cx="3035300" cy="2167890"/>
                <wp:effectExtent l="0" t="0" r="0" b="0"/>
                <wp:docPr id="5" name="图片 1"/>
                <wp:cNvGraphicFramePr/>
                <a:graphic xmlns:a="http://schemas.openxmlformats.org/drawingml/2006/main">
                  <a:graphicData uri="http://schemas.openxmlformats.org/drawingml/2006/picture">
                    <pic:pic xmlns:pic="http://schemas.openxmlformats.org/drawingml/2006/picture">
                      <pic:nvPicPr>
                        <pic:cNvPr id="13" name="图片 1"/>
                        <pic:cNvPicPr/>
                        <pic:nvPr/>
                      </pic:nvPicPr>
                      <pic:blipFill>
                        <a:blip r:embed="rId18"/>
                        <a:stretch/>
                      </pic:blipFill>
                      <pic:spPr bwMode="auto">
                        <a:xfrm>
                          <a:off x="0" y="0"/>
                          <a:ext cx="3035300" cy="2167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9.0pt;height:170.7pt;mso-wrap-distance-left:0.0pt;mso-wrap-distance-top:0.0pt;mso-wrap-distance-right:0.0pt;mso-wrap-distance-bottom:0.0pt;" stroked="f">
                <v:path textboxrect="0,0,0,0"/>
                <v:imagedata r:id="rId18" o:title=""/>
              </v:shape>
            </w:pict>
          </mc:Fallback>
        </mc:AlternateContent>
      </w:r>
      <w:r/>
    </w:p>
    <w:p>
      <w:pPr>
        <w:pStyle w:val="975"/>
        <w:rPr>
          <w:rFonts w:ascii="宋体" w:hAnsi="宋体" w:cs="宋体"/>
          <w:color w:val="auto"/>
          <w:highlight w:val="none"/>
        </w:rPr>
      </w:pPr>
      <w:r>
        <w:rPr>
          <w:rFonts w:ascii="宋体" w:hAnsi="宋体" w:cs="宋体"/>
          <w:color w:val="auto"/>
          <w:highlight w:val="none"/>
        </w:rPr>
      </w:r>
      <w:r/>
    </w:p>
    <w:p>
      <w:pPr>
        <w:ind w:firstLine="3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rPr>
          <w:rFonts w:hint="eastAsia" w:eastAsia="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JSZC-320300-JTGS-C2025-0093</w:t>
      </w:r>
      <w:r/>
    </w:p>
    <w:p>
      <w:pPr>
        <w:ind w:firstLine="320"/>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行政中心及档案馆、数据局视频监控系统维保服务</w:t>
      </w:r>
      <w:r/>
    </w:p>
    <w:p>
      <w:pPr>
        <w:ind w:firstLine="320"/>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采 购 人：徐州市机关事务管理局</w:t>
      </w:r>
      <w:r/>
    </w:p>
    <w:p>
      <w:pPr>
        <w:pStyle w:val="974"/>
        <w:ind w:left="0"/>
        <w:spacing w:line="360" w:lineRule="auto"/>
        <w:rPr>
          <w:rFonts w:ascii="宋体" w:hAnsi="宋体" w:cs="宋体"/>
          <w:color w:val="auto"/>
          <w:sz w:val="44"/>
          <w:highlight w:val="none"/>
        </w:rPr>
      </w:pPr>
      <w:r>
        <w:rPr>
          <w:rFonts w:ascii="宋体" w:hAnsi="宋体" w:cs="宋体"/>
          <w:color w:val="auto"/>
          <w:sz w:val="44"/>
          <w:highlight w:val="none"/>
        </w:rPr>
      </w:r>
      <w:r/>
    </w:p>
    <w:p>
      <w:pPr>
        <w:ind w:right="-159"/>
        <w:spacing w:line="36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采购代理机构：江苏骏通建设项目管理咨询有限公司</w:t>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二〇二五年十二月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JSZC-320300-JTGS-C2025-0093</w:t>
      </w:r>
      <w:r/>
    </w:p>
    <w:p>
      <w:pPr>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江苏骏通建设项目管理咨询有限公司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行政中心及档案馆、数据局视频监控系统维保服务</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一、采购人：徐州市机关事务管理局。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行政中心及档案馆、数据局视频监控系统维保服务</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JSZC-320300-JTGS-C2025-0093</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九、合同条款：见《磋商文件》附件6、《合同条款》。</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江苏骏通建设项目管理咨询有限公司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江苏骏通建设项目管理咨询有限公司</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Style w:val="1166"/>
          <w:rFonts w:ascii="宋体" w:hAnsi="宋体" w:cs="宋体"/>
          <w:bCs/>
          <w:color w:val="auto"/>
          <w:sz w:val="24"/>
          <w:highlight w:val="none"/>
        </w:rPr>
      </w:pPr>
      <w:r>
        <w:rPr>
          <w:rStyle w:val="1166"/>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166"/>
          <w:rFonts w:ascii="宋体" w:hAnsi="宋体" w:cs="宋体"/>
          <w:bCs/>
          <w:color w:val="auto"/>
          <w:sz w:val="24"/>
          <w:highlight w:val="none"/>
        </w:rPr>
      </w:pPr>
      <w:r>
        <w:rPr>
          <w:rStyle w:val="1166"/>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color w:val="auto"/>
          <w:highlight w:val="none"/>
        </w:rPr>
      </w:pPr>
      <w:r>
        <w:rPr>
          <w:rStyle w:val="1166"/>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166"/>
          <w:rFonts w:ascii="宋体" w:hAnsi="宋体" w:cs="宋体"/>
          <w:bCs/>
          <w:color w:val="auto"/>
          <w:sz w:val="24"/>
          <w:highlight w:val="none"/>
        </w:rPr>
      </w:pPr>
      <w:r>
        <w:rPr>
          <w:rStyle w:val="1166"/>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Style w:val="1166"/>
          <w:rFonts w:ascii="宋体" w:hAnsi="宋体"/>
          <w:b/>
          <w:color w:val="auto"/>
          <w:sz w:val="24"/>
          <w:highlight w:val="none"/>
        </w:rPr>
      </w:pPr>
      <w:r>
        <w:rPr>
          <w:rStyle w:val="1166"/>
          <w:rFonts w:ascii="宋体" w:hAnsi="宋体"/>
          <w:b/>
          <w:color w:val="auto"/>
          <w:sz w:val="24"/>
          <w:highlight w:val="none"/>
        </w:rPr>
        <w:t xml:space="preserve">“苏采云”系统使用要求：</w:t>
      </w:r>
      <w:r/>
    </w:p>
    <w:p>
      <w:pPr>
        <w:spacing w:line="360" w:lineRule="auto"/>
        <w:rPr>
          <w:rStyle w:val="1166"/>
          <w:rFonts w:ascii="宋体" w:hAnsi="宋体" w:cs="宋体"/>
          <w:bCs/>
          <w:color w:val="auto"/>
          <w:sz w:val="24"/>
          <w:highlight w:val="none"/>
        </w:rPr>
      </w:pPr>
      <w:r>
        <w:rPr>
          <w:rStyle w:val="1166"/>
          <w:rFonts w:ascii="宋体" w:hAnsi="宋体" w:cs="宋体"/>
          <w:bCs/>
          <w:color w:val="auto"/>
          <w:sz w:val="24"/>
          <w:highlight w:val="none"/>
        </w:rPr>
        <w:t xml:space="preserve">1、使用谷歌浏览器参与不见面开标及磋商环节。</w:t>
      </w:r>
      <w:r/>
    </w:p>
    <w:p>
      <w:pPr>
        <w:spacing w:line="360" w:lineRule="auto"/>
        <w:rPr>
          <w:rStyle w:val="1166"/>
          <w:rFonts w:ascii="宋体" w:hAnsi="宋体" w:cs="宋体"/>
          <w:bCs/>
          <w:color w:val="auto"/>
          <w:sz w:val="24"/>
          <w:highlight w:val="none"/>
        </w:rPr>
      </w:pPr>
      <w:r>
        <w:rPr>
          <w:rStyle w:val="1166"/>
          <w:rFonts w:ascii="宋体" w:hAnsi="宋体" w:cs="宋体"/>
          <w:bCs/>
          <w:color w:val="auto"/>
          <w:sz w:val="24"/>
          <w:highlight w:val="none"/>
        </w:rPr>
        <w:t xml:space="preserve">2、电脑需提前准备好麦克风、音响，摄像头，提前检查保证能够正常使用。</w:t>
      </w:r>
      <w:r/>
    </w:p>
    <w:p>
      <w:pPr>
        <w:spacing w:line="360" w:lineRule="auto"/>
        <w:rPr>
          <w:rStyle w:val="1166"/>
          <w:rFonts w:ascii="宋体" w:hAnsi="宋体" w:cs="宋体"/>
          <w:bCs/>
          <w:color w:val="auto"/>
          <w:sz w:val="24"/>
          <w:highlight w:val="none"/>
        </w:rPr>
      </w:pPr>
      <w:r>
        <w:rPr>
          <w:rStyle w:val="1166"/>
          <w:rFonts w:ascii="宋体" w:hAnsi="宋体" w:cs="宋体"/>
          <w:bCs/>
          <w:color w:val="auto"/>
          <w:sz w:val="24"/>
          <w:highlight w:val="none"/>
        </w:rPr>
        <w:t xml:space="preserve">3、操作系统至少win7以上，建议使用win10操作系统。</w:t>
      </w:r>
      <w:r/>
    </w:p>
    <w:p>
      <w:pPr>
        <w:pStyle w:val="96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（二）首次响应文件提交的截止时间：2025年</w:t>
      </w:r>
      <w:r>
        <w:rPr>
          <w:rFonts w:hint="eastAsia" w:ascii="宋体" w:hAnsi="宋体" w:cs="宋体"/>
          <w:b/>
          <w:bCs/>
          <w:color w:val="auto"/>
          <w:sz w:val="24"/>
          <w:highlight w:val="none"/>
          <w:u w:val="single"/>
        </w:rPr>
        <w:t xml:space="preserve">12</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29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969"/>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（2025年</w:t>
      </w:r>
      <w:r>
        <w:rPr>
          <w:rFonts w:hint="eastAsia" w:ascii="宋体" w:hAnsi="宋体" w:cs="宋体"/>
          <w:b/>
          <w:bCs/>
          <w:color w:val="auto"/>
          <w:sz w:val="24"/>
          <w:highlight w:val="none"/>
          <w:u w:val="single"/>
        </w:rPr>
        <w:t xml:space="preserve">12</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29 </w:t>
      </w:r>
      <w:r>
        <w:rPr>
          <w:rFonts w:hint="eastAsia" w:ascii="宋体" w:hAnsi="宋体" w:cs="宋体"/>
          <w:b/>
          <w:bCs/>
          <w:color w:val="auto"/>
          <w:sz w:val="24"/>
          <w:highlight w:val="none"/>
        </w:rPr>
        <w:t xml:space="preserve">日上午09：30）前。</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（四）首次响应文件开启时间：2025年</w:t>
      </w:r>
      <w:r>
        <w:rPr>
          <w:rFonts w:hint="eastAsia" w:ascii="宋体" w:hAnsi="宋体" w:cs="宋体"/>
          <w:b/>
          <w:bCs/>
          <w:color w:val="auto"/>
          <w:sz w:val="24"/>
          <w:highlight w:val="none"/>
          <w:u w:val="single"/>
        </w:rPr>
        <w:t xml:space="preserve">12</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29 </w:t>
      </w:r>
      <w:r>
        <w:rPr>
          <w:rFonts w:hint="eastAsia" w:ascii="宋体" w:hAnsi="宋体" w:cs="宋体"/>
          <w:b/>
          <w:bCs/>
          <w:color w:val="auto"/>
          <w:sz w:val="24"/>
          <w:highlight w:val="none"/>
        </w:rPr>
        <w:t xml:space="preserve">日上午09：30。</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9"/>
        <w:jc w:val="left"/>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69"/>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96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96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1、《磋商报价表》（加盖电子签章，格式见《磋商文件》附件。政府采购客户端工具输入报价自动生成）；</w:t>
      </w:r>
      <w:r/>
    </w:p>
    <w:p>
      <w:pPr>
        <w:pStyle w:val="969"/>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2、授权委托书（提供原件的扫描件，格式见《磋商文件》附件）；</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3、授权委托书中受托人身份证原件的扫描件；</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4、供应商认为需要提供的其他资料的扫描件（如有）。</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1、供应商合法有效的法人的营业执照或法人证书扫描件；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供应商的提交首次响应文件时间前6个月内任何日期的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或供应商基本开户银行出具的有效的资信证明扫描件；或提供供应商202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年度经审计的财务报告扫描件一份；或财政部门认可的政府采购专业担保机构出具的有效的投标担保函扫描件；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4、供应商的提交首次响应文件时间前6个月内任何1月的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right="-33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6、本项目为专门面向中小微企业采购的项目，</w:t>
      </w:r>
      <w:r>
        <w:rPr>
          <w:rFonts w:hint="eastAsia" w:ascii="宋体" w:hAnsi="宋体" w:cs="宋体"/>
          <w:bCs/>
          <w:color w:val="auto"/>
          <w:sz w:val="24"/>
          <w:highlight w:val="none"/>
        </w:rPr>
        <w:t xml:space="preserve">供应商应为中小微企业（含中型、小型、微型企业，下同），响应文件中提供《中小企业声明函》（加盖电子签章，填写完整，格式见《磋商文件》附件）。《中小企业声明函》查询渠道用微信搜索“中小企业规模类型自测小程序”。</w:t>
      </w:r>
      <w:r/>
    </w:p>
    <w:p>
      <w:pPr>
        <w:ind w:right="-33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2、偏离表（加盖电子签章，格式见《磋商文件》附件）；</w:t>
      </w:r>
      <w:r/>
    </w:p>
    <w:p>
      <w:pPr>
        <w:ind w:right="-334"/>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3、分项价格表（加盖电子签章，格式《磋商文件》附件）；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1、维保方案（要求见《磋商文件》附件1、《评分细则》及附件：2、《项目要求（采购需求）》）；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2、维护队伍及配套设施的方案（要求见《磋商文件》附件1、《评分细则》及附件：2、《项目要求（采购需求）》）；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1、投标人业绩（要求见《磋商文件》附件1、《评分细则》）；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2、投标人其它证明文件及材料扫描件（要求见《磋商文件》附件1、《评分细则》）；</w:t>
      </w:r>
      <w:r/>
    </w:p>
    <w:p>
      <w:pPr>
        <w:pStyle w:val="96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69"/>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969"/>
        <w:ind w:firstLine="478"/>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69"/>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69"/>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69"/>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6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69"/>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指标优劣（得分）顺序由高到低推荐：</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（1）对需维护设施的认识与理解得分高的优先；</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（2）维护方案得分高的优先；</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（3）专项应急救援预案得分高的优先。</w:t>
      </w:r>
      <w:r/>
    </w:p>
    <w:p>
      <w:pPr>
        <w:pStyle w:val="969"/>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②投标（响应）报价低于采购项目最高限价45%的，即投标（响应）报价&lt;采购项目最高限价×45%；</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③磋商小组认定的供应商报价过低、有可能影响产品质量或者不能诚信履约的其他情形。</w:t>
      </w:r>
      <w:r/>
    </w:p>
    <w:p>
      <w:pPr>
        <w:pStyle w:val="969"/>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96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33"/>
        <w:spacing w:line="360" w:lineRule="auto"/>
        <w:rPr>
          <w:rStyle w:val="951"/>
          <w:rFonts w:ascii="宋体" w:hAnsi="宋体"/>
          <w:color w:val="auto"/>
          <w:sz w:val="24"/>
          <w:highlight w:val="none"/>
        </w:rPr>
      </w:pPr>
      <w:r>
        <w:rPr>
          <w:rStyle w:val="951"/>
          <w:rFonts w:hint="eastAsia" w:ascii="宋体" w:hAnsi="宋体"/>
          <w:color w:val="auto"/>
          <w:sz w:val="24"/>
          <w:highlight w:val="none"/>
        </w:rPr>
        <w:t xml:space="preserve">（3）“信用江苏”网（http://credit.jiangsu.gov.cn/）；</w:t>
      </w:r>
      <w:r/>
    </w:p>
    <w:p>
      <w:pPr>
        <w:pStyle w:val="1033"/>
        <w:spacing w:line="360" w:lineRule="auto"/>
        <w:rPr>
          <w:rFonts w:ascii="宋体" w:hAnsi="宋体" w:cs="宋体"/>
          <w:color w:val="auto"/>
          <w:sz w:val="24"/>
          <w:highlight w:val="none"/>
        </w:rPr>
      </w:pPr>
      <w:r>
        <w:rPr>
          <w:rStyle w:val="951"/>
          <w:rFonts w:hint="eastAsia" w:ascii="宋体" w:hAnsi="宋体"/>
          <w:color w:val="auto"/>
          <w:sz w:val="24"/>
          <w:highlight w:val="none"/>
        </w:rPr>
        <w:t xml:space="preserve">（4）“信用中国(江苏徐州)”网（http://www.xuzhoucredit.gov.cn）</w:t>
      </w:r>
      <w:r>
        <w:rPr>
          <w:rStyle w:val="951"/>
          <w:rFonts w:ascii="宋体" w:hAnsi="宋体"/>
          <w:color w:val="auto"/>
          <w:sz w:val="24"/>
          <w:highlight w:val="none"/>
        </w:rPr>
        <w:t xml:space="preserve">。</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69"/>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969"/>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69"/>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69"/>
        <w:ind w:right="2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96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有下列情形之一的，其响应无效：</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7、响应文件未按磋商文件规定的内容和要求填写的；没有在系统指定位置上传对应文件、材料的；</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13、法律法规和磋商文件规定的其它无效情形。</w:t>
      </w:r>
      <w:r/>
    </w:p>
    <w:p>
      <w:pPr>
        <w:pStyle w:val="969"/>
        <w:ind w:left="2" w:right="29" w:firstLine="480"/>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969"/>
        <w:ind w:left="2" w:right="29" w:firstLine="480"/>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969"/>
        <w:ind w:right="2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69"/>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6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69"/>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69"/>
        <w:ind w:firstLine="480"/>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pStyle w:val="969"/>
        <w:ind w:firstLine="480"/>
        <w:jc w:val="cente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969"/>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联系人：李振        联系电话：15252267916</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通讯地址：徐州市泉山区软件园路同创新座A4号楼（东侧）三楼</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名称：徐州市机关事务管理局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地址：徐州市新城区昆仑大道1号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联系方式：刘永徐    13685101995</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名称：江苏骏通建设项目管理咨询有限公司</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地址：徐州市泉山区软件园路同创新座A4号楼（东侧）三楼</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联系方式：李振     15252267916</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二十五、采购人确定的采购项目属性：服务。</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6、《拟签订的合同文本》</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8、《授权委托书》</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9、《中小企业声明函》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11、《具备履行合同所必需的设备和专业技术能力的书面声明（附证明材料扫描件）》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13、《代理服务收费标准》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14、《供应商明确表示无需预付款的承诺函》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15、《预付款保函支付条款模板》</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2025年12月8日</w:t>
      </w:r>
      <w:r/>
    </w:p>
    <w:p>
      <w:pPr>
        <w:numPr>
          <w:ilvl w:val="0"/>
          <w:numId w:val="2"/>
        </w:numPr>
        <w:jc w:val="right"/>
        <w:spacing w:line="0" w:lineRule="atLeast"/>
        <w:rPr>
          <w:rFonts w:ascii="宋体" w:hAnsi="宋体" w:cs="宋体"/>
          <w:b/>
          <w:color w:val="auto"/>
          <w:sz w:val="36"/>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ascii="宋体" w:hAnsi="宋体" w:cs="宋体"/>
          <w:b/>
          <w:color w:val="auto"/>
          <w:sz w:val="36"/>
          <w:highlight w:val="none"/>
        </w:rPr>
      </w:r>
      <w:r/>
    </w:p>
    <w:p>
      <w:pPr>
        <w:numPr>
          <w:ilvl w:val="0"/>
          <w:numId w:val="2"/>
        </w:numPr>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871"/>
        <w:tblpPr w:horzAnchor="page" w:tblpX="897" w:vertAnchor="text" w:tblpY="884" w:leftFromText="180" w:topFromText="0" w:rightFromText="180" w:bottomFromText="0"/>
        <w:tblW w:w="104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88"/>
        <w:gridCol w:w="1343"/>
        <w:gridCol w:w="7687"/>
      </w:tblGrid>
      <w:tr>
        <w:trPr>
          <w:trHeight w:val="316"/>
        </w:trPr>
        <w:tc>
          <w:tcPr>
            <w:tcW w:w="138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gridSpan w:val="2"/>
            <w:tcW w:w="903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评审因素细化和量化</w:t>
            </w:r>
            <w:r/>
          </w:p>
        </w:tc>
      </w:tr>
      <w:tr>
        <w:trPr>
          <w:trHeight w:val="1546"/>
        </w:trPr>
        <w:tc>
          <w:tcPr>
            <w:tcW w:w="13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部分</w:t>
            </w:r>
            <w:r/>
          </w:p>
          <w:p>
            <w:pPr>
              <w:jc w:val="center"/>
              <w:rPr>
                <w:rFonts w:ascii="宋体" w:hAnsi="宋体" w:cs="宋体"/>
                <w:color w:val="auto"/>
                <w:sz w:val="24"/>
                <w:highlight w:val="none"/>
              </w:rPr>
            </w:pPr>
            <w:r>
              <w:rPr>
                <w:rFonts w:hint="eastAsia" w:ascii="宋体" w:hAnsi="宋体" w:cs="宋体"/>
                <w:color w:val="auto"/>
                <w:sz w:val="24"/>
                <w:highlight w:val="none"/>
              </w:rPr>
              <w:t xml:space="preserve">（10分）</w:t>
            </w:r>
            <w:r/>
          </w:p>
        </w:tc>
        <w:tc>
          <w:tcPr>
            <w:gridSpan w:val="2"/>
            <w:tcW w:w="90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采用低价优先法计算，即满足招标文件要求且最后报价最低的投标人的价格为基准价，其价格分为满分。其他投标人的价格分统一按照下列公式计算：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报价得分=（基准价/最后报价）×10</w:t>
            </w:r>
            <w:r/>
          </w:p>
          <w:p>
            <w:pPr>
              <w:rPr>
                <w:rFonts w:ascii="宋体" w:hAnsi="宋体" w:cs="宋体"/>
                <w:color w:val="auto"/>
                <w:sz w:val="24"/>
                <w:highlight w:val="none"/>
              </w:rPr>
            </w:pPr>
            <w:r>
              <w:rPr>
                <w:rFonts w:hint="eastAsia" w:ascii="宋体" w:hAnsi="宋体" w:cs="宋体"/>
                <w:color w:val="auto"/>
                <w:sz w:val="24"/>
                <w:highlight w:val="none"/>
              </w:rPr>
              <w:t xml:space="preserve">报价得分保留小数点后2位。</w:t>
            </w:r>
            <w:r/>
          </w:p>
        </w:tc>
      </w:tr>
      <w:tr>
        <w:trPr>
          <w:trHeight w:val="945"/>
        </w:trPr>
        <w:tc>
          <w:tcPr>
            <w:tcW w:w="13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业绩</w:t>
            </w:r>
            <w:r/>
          </w:p>
          <w:p>
            <w:pPr>
              <w:jc w:val="center"/>
              <w:rPr>
                <w:rFonts w:ascii="宋体" w:hAnsi="宋体" w:cs="宋体"/>
                <w:color w:val="auto"/>
                <w:sz w:val="24"/>
                <w:highlight w:val="none"/>
              </w:rPr>
            </w:pPr>
            <w:r>
              <w:rPr>
                <w:rFonts w:hint="eastAsia" w:ascii="宋体" w:hAnsi="宋体" w:cs="宋体"/>
                <w:color w:val="auto"/>
                <w:sz w:val="24"/>
                <w:highlight w:val="none"/>
              </w:rPr>
              <w:t xml:space="preserve">（4分）</w:t>
            </w:r>
            <w:r/>
          </w:p>
        </w:tc>
        <w:tc>
          <w:tcPr>
            <w:gridSpan w:val="2"/>
            <w:tcW w:w="90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投标文件中提供投标人的合同扫描件，合同签订日期在2022年12月1日后，合同内容为视频监控设施维护的合同扫描件，每提供一份得2分，本项最高得4分。未提供不得分。</w:t>
            </w:r>
            <w:bookmarkStart w:id="3" w:name="_GoBack"/>
            <w:r/>
            <w:bookmarkEnd w:id="3"/>
            <w:r/>
            <w:r/>
          </w:p>
        </w:tc>
      </w:tr>
      <w:tr>
        <w:trPr>
          <w:trHeight w:val="945"/>
        </w:trPr>
        <w:tc>
          <w:tcPr>
            <w:tcW w:w="1388"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资信评价</w:t>
            </w:r>
            <w:r/>
          </w:p>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（3分）</w:t>
            </w:r>
            <w:r/>
          </w:p>
        </w:tc>
        <w:tc>
          <w:tcPr>
            <w:gridSpan w:val="2"/>
            <w:tcW w:w="90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1.响应文件中提供供应商有效的质量管理体系认证证书原件扫描件及国家市场监督管理总局全国认证认可信息公共服务平台(网址: http://cx.cnca.cn/CertECloud/result/skipResultList)查询证书状态为有效的截图证明材料的，得1分，不提供或提供不全的不得分；</w:t>
            </w:r>
            <w:r/>
          </w:p>
          <w:p>
            <w:pPr>
              <w:rPr>
                <w:rFonts w:ascii="宋体" w:hAnsi="宋体" w:cs="宋体"/>
                <w:color w:val="auto"/>
                <w:sz w:val="24"/>
                <w:highlight w:val="none"/>
              </w:rPr>
            </w:pPr>
            <w:r>
              <w:rPr>
                <w:rFonts w:hint="eastAsia" w:ascii="宋体" w:hAnsi="宋体" w:cs="宋体"/>
                <w:color w:val="auto"/>
                <w:sz w:val="24"/>
                <w:highlight w:val="none"/>
              </w:rPr>
              <w:t xml:space="preserve">2.响应文件中提供供应商有效的环境管理体系认证证书原件扫描件及国家市场监督管理总局全国认证认可信息公共服务平台(网址: http://cx.cnca.cn/CertECloud/result/skipResultList)查询证书状态为有效的截图证明材料的，得1分，不提供或提供不全的不得分；</w:t>
            </w:r>
            <w:r/>
          </w:p>
          <w:p>
            <w:pPr>
              <w:rPr>
                <w:rFonts w:ascii="宋体" w:hAnsi="宋体" w:cs="宋体"/>
                <w:color w:val="auto"/>
                <w:sz w:val="24"/>
                <w:highlight w:val="none"/>
              </w:rPr>
            </w:pPr>
            <w:r>
              <w:rPr>
                <w:rFonts w:hint="eastAsia" w:ascii="宋体" w:hAnsi="宋体" w:cs="宋体"/>
                <w:color w:val="auto"/>
                <w:sz w:val="24"/>
                <w:highlight w:val="none"/>
              </w:rPr>
              <w:t xml:space="preserve">3.响应文件中提供供应商有效的信息安全管理体系认证证书原件扫描件及国家市场监督管理总局全国认证认可信息公共服务平台(网址: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rPr>
                <w:rFonts w:ascii="宋体" w:hAnsi="宋体" w:cs="宋体"/>
                <w:color w:val="auto"/>
                <w:sz w:val="24"/>
                <w:highlight w:val="none"/>
              </w:rPr>
            </w:pPr>
            <w:r>
              <w:rPr>
                <w:rFonts w:hint="eastAsia" w:ascii="宋体" w:hAnsi="宋体" w:cs="宋体"/>
                <w:color w:val="auto"/>
                <w:sz w:val="24"/>
                <w:highlight w:val="none"/>
              </w:rPr>
              <w:t xml:space="preserve">本项最高得3分，最低得0分。</w:t>
            </w:r>
            <w:r/>
          </w:p>
        </w:tc>
      </w:tr>
      <w:tr>
        <w:trPr>
          <w:trHeight w:val="2158"/>
        </w:trPr>
        <w:tc>
          <w:tcPr>
            <w:tcW w:w="1388" w:type="dxa"/>
            <w:vAlign w:val="center"/>
            <w:vMerge w:val="restart"/>
            <w:textDirection w:val="lrTb"/>
            <w:noWrap w:val="false"/>
          </w:tcPr>
          <w:p>
            <w:pPr>
              <w:rPr>
                <w:rFonts w:ascii="宋体" w:hAnsi="宋体" w:cs="宋体"/>
                <w:bCs/>
                <w:color w:val="auto"/>
                <w:sz w:val="24"/>
                <w:highlight w:val="none"/>
              </w:rPr>
            </w:pPr>
            <w:r>
              <w:rPr>
                <w:rFonts w:hint="eastAsia" w:ascii="宋体" w:hAnsi="宋体" w:cs="宋体"/>
                <w:bCs/>
                <w:color w:val="auto"/>
                <w:sz w:val="24"/>
                <w:highlight w:val="none"/>
              </w:rPr>
              <w:t xml:space="preserve">维保方案（65分）</w:t>
            </w:r>
            <w:r/>
          </w:p>
        </w:tc>
        <w:tc>
          <w:tcPr>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对需维护设施的认识与理解（10分）</w:t>
            </w:r>
            <w:r/>
          </w:p>
        </w:tc>
        <w:tc>
          <w:tcPr>
            <w:tcW w:w="768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对本项目相关的设施的描述情况，对主要设施功用、重要性、重点维护事项、维护中需注意事项，对项目中所用材料、设备的质量对整个系统的影响等做出完整、简洁的认识和理解。</w:t>
            </w:r>
            <w:r/>
          </w:p>
          <w:p>
            <w:pPr>
              <w:rPr>
                <w:rFonts w:ascii="宋体" w:hAnsi="宋体" w:cs="宋体"/>
                <w:color w:val="auto"/>
                <w:sz w:val="24"/>
                <w:highlight w:val="none"/>
              </w:rPr>
            </w:pPr>
            <w:r>
              <w:rPr>
                <w:rFonts w:hint="eastAsia" w:ascii="宋体" w:hAnsi="宋体" w:cs="宋体"/>
                <w:color w:val="auto"/>
                <w:sz w:val="24"/>
                <w:highlight w:val="none"/>
              </w:rPr>
              <w:t xml:space="preserve">详实、具体，契合本项目特点得10分；</w:t>
            </w:r>
            <w:r/>
          </w:p>
          <w:p>
            <w:pPr>
              <w:rPr>
                <w:rFonts w:ascii="宋体" w:hAnsi="宋体" w:cs="宋体"/>
                <w:color w:val="auto"/>
                <w:sz w:val="24"/>
                <w:highlight w:val="none"/>
              </w:rPr>
            </w:pPr>
            <w:r>
              <w:rPr>
                <w:rFonts w:hint="eastAsia" w:ascii="宋体" w:hAnsi="宋体" w:cs="宋体"/>
                <w:color w:val="auto"/>
                <w:sz w:val="24"/>
                <w:highlight w:val="none"/>
              </w:rPr>
              <w:t xml:space="preserve">比较详实、具体，比较符合本项目特点得7分；</w:t>
            </w:r>
            <w:r/>
          </w:p>
          <w:p>
            <w:pPr>
              <w:rPr>
                <w:rFonts w:ascii="宋体" w:hAnsi="宋体" w:cs="宋体"/>
                <w:color w:val="auto"/>
                <w:sz w:val="24"/>
                <w:highlight w:val="none"/>
              </w:rPr>
            </w:pPr>
            <w:r>
              <w:rPr>
                <w:rFonts w:hint="eastAsia" w:ascii="宋体" w:hAnsi="宋体" w:cs="宋体"/>
                <w:color w:val="auto"/>
                <w:sz w:val="24"/>
                <w:highlight w:val="none"/>
              </w:rPr>
              <w:t xml:space="preserve">详实性、具体性一般，与本项目特点符合性一般得4分；</w:t>
            </w:r>
            <w:r/>
          </w:p>
          <w:p>
            <w:pPr>
              <w:rPr>
                <w:rFonts w:ascii="宋体" w:hAnsi="宋体" w:cs="宋体"/>
                <w:color w:val="auto"/>
                <w:sz w:val="24"/>
                <w:highlight w:val="none"/>
              </w:rPr>
            </w:pPr>
            <w:r>
              <w:rPr>
                <w:rFonts w:hint="eastAsia" w:ascii="宋体" w:hAnsi="宋体" w:cs="宋体"/>
                <w:color w:val="auto"/>
                <w:sz w:val="24"/>
                <w:highlight w:val="none"/>
              </w:rPr>
              <w:t xml:space="preserve">不够详实、具体，不符本项目特点得1分；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未提供的得0分。本项最高得10分。</w:t>
            </w:r>
            <w:r/>
          </w:p>
        </w:tc>
      </w:tr>
      <w:tr>
        <w:trPr>
          <w:trHeight w:val="1546"/>
        </w:trPr>
        <w:tc>
          <w:tcPr>
            <w:tcW w:w="1388" w:type="dxa"/>
            <w:vAlign w:val="center"/>
            <w:vMerge w:val="continue"/>
            <w:textDirection w:val="lrTb"/>
            <w:noWrap w:val="false"/>
          </w:tcPr>
          <w:p>
            <w:pPr>
              <w:rPr>
                <w:rFonts w:ascii="宋体" w:hAnsi="宋体" w:cs="宋体"/>
                <w:bCs/>
                <w:color w:val="auto"/>
                <w:sz w:val="24"/>
                <w:highlight w:val="none"/>
              </w:rPr>
            </w:pPr>
            <w:r>
              <w:rPr>
                <w:rFonts w:ascii="宋体" w:hAnsi="宋体" w:cs="宋体"/>
                <w:bCs/>
                <w:color w:val="auto"/>
                <w:sz w:val="24"/>
                <w:highlight w:val="none"/>
              </w:rPr>
            </w:r>
            <w:r/>
          </w:p>
        </w:tc>
        <w:tc>
          <w:tcPr>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维护方案（15分）</w:t>
            </w:r>
            <w:r/>
          </w:p>
        </w:tc>
        <w:tc>
          <w:tcPr>
            <w:tcW w:w="768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根据现有需维护系统和设备，制定针对性的维保方案和安全管理方案。</w:t>
            </w:r>
            <w:r/>
          </w:p>
          <w:p>
            <w:pPr>
              <w:rPr>
                <w:rFonts w:ascii="宋体" w:hAnsi="宋体" w:cs="宋体"/>
                <w:color w:val="auto"/>
                <w:sz w:val="24"/>
                <w:highlight w:val="none"/>
              </w:rPr>
            </w:pPr>
            <w:r>
              <w:rPr>
                <w:rFonts w:hint="eastAsia" w:ascii="宋体" w:hAnsi="宋体" w:cs="宋体"/>
                <w:color w:val="auto"/>
                <w:sz w:val="24"/>
                <w:highlight w:val="none"/>
              </w:rPr>
              <w:t xml:space="preserve">方案完整、科学合理、切实可行、有针对性的得15分；</w:t>
            </w:r>
            <w:r/>
          </w:p>
          <w:p>
            <w:pPr>
              <w:rPr>
                <w:rFonts w:ascii="宋体" w:hAnsi="宋体" w:cs="宋体"/>
                <w:color w:val="auto"/>
                <w:sz w:val="24"/>
                <w:highlight w:val="none"/>
              </w:rPr>
            </w:pPr>
            <w:r>
              <w:rPr>
                <w:rFonts w:hint="eastAsia" w:ascii="宋体" w:hAnsi="宋体" w:cs="宋体"/>
                <w:color w:val="auto"/>
                <w:sz w:val="24"/>
                <w:highlight w:val="none"/>
              </w:rPr>
              <w:t xml:space="preserve">方案较完整、较科学合理、可行性较强、较有针对的得10分；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方案完整性、科学合理性、可行性、针对性一般的得5分；</w:t>
            </w:r>
            <w:r/>
          </w:p>
          <w:p>
            <w:pPr>
              <w:rPr>
                <w:rFonts w:ascii="宋体" w:hAnsi="宋体" w:cs="宋体"/>
                <w:color w:val="auto"/>
                <w:sz w:val="24"/>
                <w:highlight w:val="none"/>
              </w:rPr>
            </w:pPr>
            <w:r>
              <w:rPr>
                <w:rFonts w:hint="eastAsia" w:ascii="宋体" w:hAnsi="宋体" w:cs="宋体"/>
                <w:color w:val="auto"/>
                <w:sz w:val="24"/>
                <w:highlight w:val="none"/>
              </w:rPr>
              <w:t xml:space="preserve">方案不完整、可行性较差、没有针对性的得1分；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未提供的得0分。本项最高得15分。</w:t>
            </w:r>
            <w:r/>
          </w:p>
        </w:tc>
      </w:tr>
      <w:tr>
        <w:trPr>
          <w:trHeight w:val="694"/>
        </w:trPr>
        <w:tc>
          <w:tcPr>
            <w:tcW w:w="138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专项应急救援预案（10分）</w:t>
            </w:r>
            <w:r/>
          </w:p>
        </w:tc>
        <w:tc>
          <w:tcPr>
            <w:tcW w:w="768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根据项目特点和现有需维护系统和设备，制定针对性的专项应急救援预案。</w:t>
            </w:r>
            <w:r/>
          </w:p>
          <w:p>
            <w:pPr>
              <w:rPr>
                <w:rFonts w:ascii="宋体" w:hAnsi="宋体" w:cs="宋体"/>
                <w:color w:val="auto"/>
                <w:sz w:val="24"/>
                <w:highlight w:val="none"/>
              </w:rPr>
            </w:pPr>
            <w:r>
              <w:rPr>
                <w:rFonts w:hint="eastAsia" w:ascii="宋体" w:hAnsi="宋体" w:cs="宋体"/>
                <w:color w:val="auto"/>
                <w:sz w:val="24"/>
                <w:highlight w:val="none"/>
              </w:rPr>
              <w:t xml:space="preserve">有针对性、详细、具体、可操作性强的得10分；</w:t>
            </w:r>
            <w:r/>
          </w:p>
          <w:p>
            <w:pPr>
              <w:rPr>
                <w:rFonts w:ascii="宋体" w:hAnsi="宋体" w:cs="宋体"/>
                <w:color w:val="auto"/>
                <w:sz w:val="24"/>
                <w:highlight w:val="none"/>
              </w:rPr>
            </w:pPr>
            <w:r>
              <w:rPr>
                <w:rFonts w:hint="eastAsia" w:ascii="宋体" w:hAnsi="宋体" w:cs="宋体"/>
                <w:color w:val="auto"/>
                <w:sz w:val="24"/>
                <w:highlight w:val="none"/>
              </w:rPr>
              <w:t xml:space="preserve">针对性较强，较详细、具体、可操作性较强的得7分；</w:t>
            </w:r>
            <w:r/>
          </w:p>
          <w:p>
            <w:pPr>
              <w:rPr>
                <w:rFonts w:ascii="宋体" w:hAnsi="宋体" w:cs="宋体"/>
                <w:color w:val="auto"/>
                <w:sz w:val="24"/>
                <w:highlight w:val="none"/>
              </w:rPr>
            </w:pPr>
            <w:r>
              <w:rPr>
                <w:rFonts w:hint="eastAsia" w:ascii="宋体" w:hAnsi="宋体" w:cs="宋体"/>
                <w:color w:val="auto"/>
                <w:sz w:val="24"/>
                <w:highlight w:val="none"/>
              </w:rPr>
              <w:t xml:space="preserve">针对性一般，详细性、具体性、可操作性一般的得4分；</w:t>
            </w:r>
            <w:r/>
          </w:p>
          <w:p>
            <w:pPr>
              <w:rPr>
                <w:rFonts w:ascii="宋体" w:hAnsi="宋体" w:cs="宋体"/>
                <w:color w:val="auto"/>
                <w:sz w:val="24"/>
                <w:highlight w:val="none"/>
              </w:rPr>
            </w:pPr>
            <w:r>
              <w:rPr>
                <w:rFonts w:hint="eastAsia" w:ascii="宋体" w:hAnsi="宋体" w:cs="宋体"/>
                <w:color w:val="auto"/>
                <w:sz w:val="24"/>
                <w:highlight w:val="none"/>
              </w:rPr>
              <w:t xml:space="preserve">无针对性，不详细、具体、无操作性的得1分；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未提供的得0分。本项最高得10分。</w:t>
            </w:r>
            <w:r/>
          </w:p>
        </w:tc>
      </w:tr>
      <w:tr>
        <w:trPr>
          <w:trHeight w:val="1782"/>
        </w:trPr>
        <w:tc>
          <w:tcPr>
            <w:tcW w:w="138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维护工作的规范性和可溯性（5分）</w:t>
            </w:r>
            <w:r/>
          </w:p>
        </w:tc>
        <w:tc>
          <w:tcPr>
            <w:tcW w:w="7687" w:type="dxa"/>
            <w:vAlign w:val="center"/>
            <w:textDirection w:val="lrTb"/>
            <w:noWrap w:val="false"/>
          </w:tcPr>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根据运维服务工作内容和要求，设计完备的运维服务工作记录报表，模板齐全、描述详尽、易于填报。</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有针对性、详细、具体、可操作性强的得5分；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针对性较强，较详细、具体、可操作性较强的得3分；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针对性一般，详细性、具体性、可操作性一般的得2分；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无针对性，不详细、具体、无操作性的得1分；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未提供的得0分。本项最高得5分。</w:t>
            </w:r>
            <w:r/>
          </w:p>
        </w:tc>
      </w:tr>
      <w:tr>
        <w:trPr>
          <w:trHeight w:val="890"/>
        </w:trPr>
        <w:tc>
          <w:tcPr>
            <w:tcW w:w="138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巡查、定期养护计划</w:t>
            </w:r>
            <w:r/>
          </w:p>
          <w:p>
            <w:pPr>
              <w:jc w:val="center"/>
              <w:rPr>
                <w:rFonts w:ascii="宋体" w:hAnsi="宋体" w:cs="宋体"/>
                <w:color w:val="auto"/>
                <w:sz w:val="24"/>
                <w:highlight w:val="none"/>
              </w:rPr>
            </w:pPr>
            <w:r>
              <w:rPr>
                <w:rFonts w:hint="eastAsia" w:ascii="宋体" w:hAnsi="宋体" w:cs="宋体"/>
                <w:color w:val="auto"/>
                <w:sz w:val="24"/>
                <w:highlight w:val="none"/>
              </w:rPr>
              <w:t xml:space="preserve">（15分）</w:t>
            </w:r>
            <w:r/>
          </w:p>
        </w:tc>
        <w:tc>
          <w:tcPr>
            <w:tcW w:w="7687" w:type="dxa"/>
            <w:vAlign w:val="center"/>
            <w:textDirection w:val="lrTb"/>
            <w:noWrap w:val="false"/>
          </w:tcPr>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根据项目特点和现有需维护系统和设备，制定针对性的专巡查、定期养护计划。</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有针对性、详细、具体、可操作性强的得15分；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较完整、较合理，具体、可操作性较强的得10分；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针对性一般，详细性、具体性、可操作性一般的得5分；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无针对性，不详细、具体、无操作性的得1分；</w:t>
            </w:r>
            <w:r/>
          </w:p>
          <w:p>
            <w:pPr>
              <w:jc w:val="left"/>
              <w:tabs>
                <w:tab w:val="left" w:pos="1310" w:leader="none"/>
              </w:tabs>
              <w:rPr>
                <w:rFonts w:ascii="宋体" w:hAnsi="宋体" w:cs="宋体"/>
                <w:color w:val="auto"/>
                <w:sz w:val="24"/>
                <w:highlight w:val="none"/>
              </w:rPr>
            </w:pPr>
            <w:r>
              <w:rPr>
                <w:rFonts w:hint="eastAsia" w:ascii="宋体" w:hAnsi="宋体" w:cs="宋体"/>
                <w:color w:val="auto"/>
                <w:sz w:val="24"/>
                <w:highlight w:val="none"/>
              </w:rPr>
              <w:t xml:space="preserve">未提供的得0分。本项最高得15分。</w:t>
            </w:r>
            <w:r/>
          </w:p>
        </w:tc>
      </w:tr>
      <w:tr>
        <w:trPr>
          <w:cantSplit/>
          <w:trHeight w:val="1546"/>
        </w:trPr>
        <w:tc>
          <w:tcPr>
            <w:tcW w:w="1388" w:type="dxa"/>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bottom w:val="single" w:color="auto" w:sz="4" w:space="0"/>
            </w:tcBorders>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拟选用的产品情况（10分）</w:t>
            </w:r>
            <w:r/>
          </w:p>
        </w:tc>
        <w:tc>
          <w:tcPr>
            <w:tcBorders>
              <w:bottom w:val="single" w:color="auto" w:sz="4" w:space="0"/>
            </w:tcBorders>
            <w:tcW w:w="7687" w:type="dxa"/>
            <w:vAlign w:val="center"/>
            <w:textDirection w:val="lrTb"/>
            <w:noWrap w:val="false"/>
          </w:tcPr>
          <w:p>
            <w:pPr>
              <w:ind w:left="210" w:hanging="210"/>
              <w:tabs>
                <w:tab w:val="left" w:pos="1470" w:leader="none"/>
              </w:tabs>
              <w:rPr>
                <w:rFonts w:ascii="宋体" w:hAnsi="宋体" w:cs="宋体"/>
                <w:color w:val="auto"/>
                <w:sz w:val="24"/>
                <w:highlight w:val="none"/>
              </w:rPr>
            </w:pPr>
            <w:r>
              <w:rPr>
                <w:rFonts w:hint="eastAsia" w:ascii="宋体" w:hAnsi="宋体" w:cs="宋体"/>
                <w:color w:val="auto"/>
                <w:sz w:val="24"/>
                <w:highlight w:val="none"/>
              </w:rPr>
              <w:t xml:space="preserve">考察投标人所提供产品与备件和本项目系统的兼容性、匹配度等。</w:t>
            </w:r>
            <w:r/>
          </w:p>
          <w:p>
            <w:pPr>
              <w:ind w:left="210" w:hanging="210"/>
              <w:tabs>
                <w:tab w:val="left" w:pos="1470" w:leader="none"/>
              </w:tabs>
              <w:rPr>
                <w:rFonts w:ascii="宋体" w:hAnsi="宋体" w:cs="宋体"/>
                <w:color w:val="auto"/>
                <w:sz w:val="24"/>
                <w:highlight w:val="none"/>
              </w:rPr>
            </w:pPr>
            <w:r>
              <w:rPr>
                <w:rFonts w:hint="eastAsia" w:ascii="宋体" w:hAnsi="宋体" w:cs="宋体"/>
                <w:color w:val="auto"/>
                <w:sz w:val="24"/>
                <w:highlight w:val="none"/>
              </w:rPr>
              <w:t xml:space="preserve">完全匹配，无缝对接得10分；</w:t>
            </w:r>
            <w:r/>
          </w:p>
          <w:p>
            <w:pPr>
              <w:ind w:left="210" w:hanging="210"/>
              <w:tabs>
                <w:tab w:val="left" w:pos="1470" w:leader="none"/>
              </w:tabs>
              <w:rPr>
                <w:rFonts w:ascii="宋体" w:hAnsi="宋体" w:cs="宋体"/>
                <w:color w:val="auto"/>
                <w:sz w:val="24"/>
                <w:highlight w:val="none"/>
              </w:rPr>
            </w:pPr>
            <w:r>
              <w:rPr>
                <w:rFonts w:hint="eastAsia" w:ascii="宋体" w:hAnsi="宋体" w:cs="宋体"/>
                <w:color w:val="auto"/>
                <w:sz w:val="24"/>
                <w:highlight w:val="none"/>
              </w:rPr>
              <w:t xml:space="preserve">匹配性较强，基本无缝对接得7分；</w:t>
            </w:r>
            <w:r/>
          </w:p>
          <w:p>
            <w:pPr>
              <w:ind w:left="210" w:hanging="210"/>
              <w:tabs>
                <w:tab w:val="left" w:pos="1470" w:leader="none"/>
              </w:tabs>
              <w:rPr>
                <w:rFonts w:ascii="宋体" w:hAnsi="宋体" w:cs="宋体"/>
                <w:color w:val="auto"/>
                <w:sz w:val="24"/>
                <w:highlight w:val="none"/>
              </w:rPr>
            </w:pPr>
            <w:r>
              <w:rPr>
                <w:rFonts w:hint="eastAsia" w:ascii="宋体" w:hAnsi="宋体" w:cs="宋体"/>
                <w:color w:val="auto"/>
                <w:sz w:val="24"/>
                <w:highlight w:val="none"/>
              </w:rPr>
              <w:t xml:space="preserve">基本匹配，无对接问题得4分；</w:t>
            </w:r>
            <w:r/>
          </w:p>
          <w:p>
            <w:pPr>
              <w:ind w:left="210" w:hanging="210"/>
              <w:tabs>
                <w:tab w:val="left" w:pos="1470" w:leader="none"/>
              </w:tabs>
              <w:rPr>
                <w:rFonts w:ascii="宋体" w:hAnsi="宋体" w:cs="宋体"/>
                <w:color w:val="auto"/>
                <w:sz w:val="24"/>
                <w:highlight w:val="none"/>
              </w:rPr>
            </w:pPr>
            <w:r>
              <w:rPr>
                <w:rFonts w:hint="eastAsia" w:ascii="宋体" w:hAnsi="宋体" w:cs="宋体"/>
                <w:color w:val="auto"/>
                <w:sz w:val="24"/>
                <w:highlight w:val="none"/>
              </w:rPr>
              <w:t xml:space="preserve">匹配不足，对接有问题得1分；</w:t>
            </w:r>
            <w:r/>
          </w:p>
          <w:p>
            <w:pPr>
              <w:ind w:left="210" w:hanging="210"/>
              <w:tabs>
                <w:tab w:val="left" w:pos="1470" w:leader="none"/>
              </w:tabs>
              <w:rPr>
                <w:rFonts w:ascii="宋体" w:hAnsi="宋体" w:cs="宋体"/>
                <w:color w:val="auto"/>
                <w:sz w:val="24"/>
                <w:highlight w:val="none"/>
              </w:rPr>
            </w:pPr>
            <w:r>
              <w:rPr>
                <w:rFonts w:hint="eastAsia" w:ascii="宋体" w:hAnsi="宋体" w:cs="宋体"/>
                <w:color w:val="auto"/>
                <w:sz w:val="24"/>
                <w:highlight w:val="none"/>
              </w:rPr>
              <w:t xml:space="preserve">未提供的得0分。本项最高得10分。</w:t>
            </w:r>
            <w:r/>
          </w:p>
        </w:tc>
      </w:tr>
      <w:tr>
        <w:trPr>
          <w:cantSplit/>
          <w:trHeight w:val="1852"/>
        </w:trPr>
        <w:tc>
          <w:tcPr>
            <w:tcW w:w="1388"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维护队伍及配套设施的方案（18分）</w:t>
            </w:r>
            <w:r/>
          </w:p>
        </w:tc>
        <w:tc>
          <w:tcPr>
            <w:tcBorders>
              <w:bottom w:val="single" w:color="auto" w:sz="4" w:space="0"/>
            </w:tcBorders>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企业各项管理规章制度及完整的后续服务保障体系</w:t>
            </w:r>
            <w:r/>
          </w:p>
          <w:p>
            <w:pPr>
              <w:jc w:val="center"/>
              <w:rPr>
                <w:rFonts w:ascii="宋体" w:hAnsi="宋体" w:cs="宋体"/>
                <w:color w:val="auto"/>
                <w:sz w:val="24"/>
                <w:highlight w:val="none"/>
              </w:rPr>
            </w:pPr>
            <w:r>
              <w:rPr>
                <w:rFonts w:hint="eastAsia" w:ascii="宋体" w:hAnsi="宋体" w:cs="宋体"/>
                <w:color w:val="auto"/>
                <w:sz w:val="24"/>
                <w:highlight w:val="none"/>
              </w:rPr>
              <w:t xml:space="preserve">（5分）</w:t>
            </w:r>
            <w:r/>
          </w:p>
        </w:tc>
        <w:tc>
          <w:tcPr>
            <w:tcBorders>
              <w:bottom w:val="single" w:color="auto" w:sz="4" w:space="0"/>
            </w:tcBorders>
            <w:tcW w:w="768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供应商有无健全的管理规章制度，包括员工管理考核类、作业指导类等，有无完整的后续服务保障体系确保服务目标的实现，规章制度健全且服务保障体系操作性强的得5分；</w:t>
            </w:r>
            <w:r/>
          </w:p>
          <w:p>
            <w:pPr>
              <w:rPr>
                <w:rFonts w:ascii="宋体" w:hAnsi="宋体" w:cs="宋体"/>
                <w:color w:val="auto"/>
                <w:sz w:val="24"/>
                <w:highlight w:val="none"/>
              </w:rPr>
            </w:pPr>
            <w:r>
              <w:rPr>
                <w:rFonts w:hint="eastAsia" w:ascii="宋体" w:hAnsi="宋体" w:cs="宋体"/>
                <w:color w:val="auto"/>
                <w:sz w:val="24"/>
                <w:highlight w:val="none"/>
              </w:rPr>
              <w:t xml:space="preserve">规章制度基本健全，服务保障体系基本可操作的得3分；</w:t>
            </w:r>
            <w:r/>
          </w:p>
          <w:p>
            <w:pPr>
              <w:rPr>
                <w:rFonts w:ascii="宋体" w:hAnsi="宋体" w:cs="宋体"/>
                <w:color w:val="auto"/>
                <w:sz w:val="24"/>
                <w:highlight w:val="none"/>
              </w:rPr>
            </w:pPr>
            <w:r>
              <w:rPr>
                <w:rFonts w:hint="eastAsia" w:ascii="宋体" w:hAnsi="宋体" w:cs="宋体"/>
                <w:color w:val="auto"/>
                <w:sz w:val="24"/>
                <w:highlight w:val="none"/>
              </w:rPr>
              <w:t xml:space="preserve">规章制度不健全，服务保障体系操作性差的得1分；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未提供的得0分。本项最高得5分。</w:t>
            </w:r>
            <w:r/>
          </w:p>
        </w:tc>
      </w:tr>
      <w:tr>
        <w:trPr>
          <w:cantSplit/>
          <w:trHeight w:val="1852"/>
        </w:trPr>
        <w:tc>
          <w:tcPr>
            <w:tcW w:w="138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bottom w:val="single" w:color="auto" w:sz="4" w:space="0"/>
            </w:tcBorders>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拟安排的维护队伍（项目经理除外）情况</w:t>
            </w:r>
            <w:r/>
          </w:p>
          <w:p>
            <w:pPr>
              <w:jc w:val="center"/>
              <w:rPr>
                <w:rFonts w:ascii="宋体" w:hAnsi="宋体" w:cs="宋体"/>
                <w:color w:val="auto"/>
                <w:sz w:val="24"/>
                <w:highlight w:val="none"/>
              </w:rPr>
            </w:pPr>
            <w:r>
              <w:rPr>
                <w:rFonts w:hint="eastAsia" w:ascii="宋体" w:hAnsi="宋体" w:cs="宋体"/>
                <w:color w:val="auto"/>
                <w:sz w:val="24"/>
                <w:highlight w:val="none"/>
              </w:rPr>
              <w:t xml:space="preserve">（10分）</w:t>
            </w:r>
            <w:r/>
          </w:p>
        </w:tc>
        <w:tc>
          <w:tcPr>
            <w:tcBorders>
              <w:bottom w:val="single" w:color="auto" w:sz="4" w:space="0"/>
            </w:tcBorders>
            <w:tcW w:w="768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根据拟安排的项目团队成员情况进行打分：</w:t>
            </w:r>
            <w:r/>
          </w:p>
          <w:p>
            <w:pPr>
              <w:rPr>
                <w:rFonts w:ascii="宋体" w:hAnsi="宋体" w:cs="宋体"/>
                <w:color w:val="auto"/>
                <w:sz w:val="24"/>
                <w:highlight w:val="none"/>
              </w:rPr>
            </w:pPr>
            <w:r>
              <w:rPr>
                <w:rFonts w:hint="eastAsia" w:ascii="宋体" w:hAnsi="宋体" w:cs="宋体"/>
                <w:color w:val="auto"/>
                <w:sz w:val="24"/>
                <w:highlight w:val="none"/>
              </w:rPr>
              <w:t xml:space="preserve">人员配备合理、全面的得10分；</w:t>
            </w:r>
            <w:r/>
          </w:p>
          <w:p>
            <w:pPr>
              <w:rPr>
                <w:rFonts w:ascii="宋体" w:hAnsi="宋体" w:cs="宋体"/>
                <w:color w:val="auto"/>
                <w:sz w:val="24"/>
                <w:highlight w:val="none"/>
              </w:rPr>
            </w:pPr>
            <w:r>
              <w:rPr>
                <w:rFonts w:hint="eastAsia" w:ascii="宋体" w:hAnsi="宋体" w:cs="宋体"/>
                <w:color w:val="auto"/>
                <w:sz w:val="24"/>
                <w:highlight w:val="none"/>
              </w:rPr>
              <w:t xml:space="preserve">较合理、全面的得7分；</w:t>
            </w:r>
            <w:r/>
          </w:p>
          <w:p>
            <w:pPr>
              <w:rPr>
                <w:rFonts w:ascii="宋体" w:hAnsi="宋体" w:cs="宋体"/>
                <w:color w:val="auto"/>
                <w:sz w:val="24"/>
                <w:highlight w:val="none"/>
              </w:rPr>
            </w:pPr>
            <w:r>
              <w:rPr>
                <w:rFonts w:hint="eastAsia" w:ascii="宋体" w:hAnsi="宋体" w:cs="宋体"/>
                <w:color w:val="auto"/>
                <w:sz w:val="24"/>
                <w:highlight w:val="none"/>
              </w:rPr>
              <w:t xml:space="preserve">合理性、全面性一般的得4分；</w:t>
            </w:r>
            <w:r/>
          </w:p>
          <w:p>
            <w:pPr>
              <w:rPr>
                <w:rFonts w:ascii="宋体" w:hAnsi="宋体" w:cs="宋体"/>
                <w:color w:val="auto"/>
                <w:sz w:val="24"/>
                <w:highlight w:val="none"/>
              </w:rPr>
            </w:pPr>
            <w:r>
              <w:rPr>
                <w:rFonts w:hint="eastAsia" w:ascii="宋体" w:hAnsi="宋体" w:cs="宋体"/>
                <w:color w:val="auto"/>
                <w:sz w:val="24"/>
                <w:highlight w:val="none"/>
              </w:rPr>
              <w:t xml:space="preserve">人员配备不合理、不科学的得1分；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未提供的得0分。本项最高得10分。</w:t>
            </w:r>
            <w:r/>
          </w:p>
          <w:p>
            <w:pPr>
              <w:rPr>
                <w:rFonts w:ascii="宋体" w:hAnsi="宋体" w:cs="宋体"/>
                <w:color w:val="auto"/>
                <w:sz w:val="24"/>
                <w:highlight w:val="none"/>
              </w:rPr>
            </w:pPr>
            <w:r>
              <w:rPr>
                <w:rFonts w:hint="eastAsia" w:ascii="宋体" w:hAnsi="宋体" w:cs="宋体"/>
                <w:b/>
                <w:bCs/>
                <w:color w:val="auto"/>
                <w:sz w:val="24"/>
                <w:highlight w:val="none"/>
              </w:rPr>
              <w:t xml:space="preserve">投标文件中需提供维护队伍的花名册和相关人员的证书扫描件。</w:t>
            </w:r>
            <w:r/>
          </w:p>
        </w:tc>
      </w:tr>
      <w:tr>
        <w:trPr>
          <w:cantSplit/>
          <w:trHeight w:val="2781"/>
        </w:trPr>
        <w:tc>
          <w:tcPr>
            <w:tcW w:w="138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bottom w:val="single" w:color="auto" w:sz="4" w:space="0"/>
            </w:tcBorders>
            <w:tcW w:w="13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拟投入的车辆情况（3分）</w:t>
            </w:r>
            <w:r/>
          </w:p>
        </w:tc>
        <w:tc>
          <w:tcPr>
            <w:tcBorders>
              <w:bottom w:val="single" w:color="auto" w:sz="4" w:space="0"/>
            </w:tcBorders>
            <w:tcW w:w="768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投标人在本项目车辆投入情况（自有或租赁均可）：</w:t>
            </w:r>
            <w:r/>
          </w:p>
          <w:p>
            <w:pPr>
              <w:rPr>
                <w:rFonts w:ascii="宋体" w:hAnsi="宋体" w:cs="宋体"/>
                <w:color w:val="auto"/>
                <w:sz w:val="24"/>
                <w:highlight w:val="none"/>
              </w:rPr>
            </w:pPr>
            <w:r>
              <w:rPr>
                <w:rFonts w:hint="eastAsia" w:ascii="宋体" w:hAnsi="宋体" w:cs="宋体"/>
                <w:color w:val="auto"/>
                <w:sz w:val="24"/>
                <w:highlight w:val="none"/>
              </w:rPr>
              <w:t xml:space="preserve">车辆配备合理、全面的得3分；</w:t>
            </w:r>
            <w:r/>
          </w:p>
          <w:p>
            <w:pPr>
              <w:rPr>
                <w:rFonts w:ascii="宋体" w:hAnsi="宋体" w:cs="宋体"/>
                <w:color w:val="auto"/>
                <w:sz w:val="24"/>
                <w:highlight w:val="none"/>
              </w:rPr>
            </w:pPr>
            <w:r>
              <w:rPr>
                <w:rFonts w:hint="eastAsia" w:ascii="宋体" w:hAnsi="宋体" w:cs="宋体"/>
                <w:color w:val="auto"/>
                <w:sz w:val="24"/>
                <w:highlight w:val="none"/>
              </w:rPr>
              <w:t xml:space="preserve">较合理、全面的得2分；</w:t>
            </w:r>
            <w:r/>
          </w:p>
          <w:p>
            <w:pPr>
              <w:rPr>
                <w:rFonts w:ascii="宋体" w:hAnsi="宋体" w:cs="宋体"/>
                <w:color w:val="auto"/>
                <w:sz w:val="24"/>
                <w:highlight w:val="none"/>
              </w:rPr>
            </w:pPr>
            <w:r>
              <w:rPr>
                <w:rFonts w:hint="eastAsia" w:ascii="宋体" w:hAnsi="宋体" w:cs="宋体"/>
                <w:color w:val="auto"/>
                <w:sz w:val="24"/>
                <w:highlight w:val="none"/>
              </w:rPr>
              <w:t xml:space="preserve">不合理、不科学的得1分；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未提供的得0分。本项最高得3分。</w:t>
            </w:r>
            <w:r/>
          </w:p>
          <w:p>
            <w:pPr>
              <w:rPr>
                <w:rFonts w:ascii="宋体" w:hAnsi="宋体" w:cs="宋体"/>
                <w:color w:val="auto"/>
                <w:sz w:val="24"/>
                <w:highlight w:val="none"/>
              </w:rPr>
            </w:pPr>
            <w:r>
              <w:rPr>
                <w:rFonts w:hint="eastAsia" w:ascii="宋体" w:hAnsi="宋体" w:cs="宋体"/>
                <w:b/>
                <w:bCs/>
                <w:color w:val="auto"/>
                <w:sz w:val="24"/>
                <w:highlight w:val="none"/>
              </w:rPr>
              <w:t xml:space="preserve">在投标文件中提供有效期内详细车辆清单及车辆登记证书的扫描件、行驶证的扫描件，中标前未有设备车辆的投标人需提供承诺书，承诺书格式自拟。评分中出现无证明资料或专家无法凭所提供资料判断是否得分的情况，一律作不得分处理。</w:t>
            </w:r>
            <w:r/>
          </w:p>
        </w:tc>
      </w:tr>
    </w:tbl>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numPr>
          <w:ilvl w:val="0"/>
          <w:numId w:val="3"/>
        </w:numPr>
        <w:spacing w:line="519"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本项目采用综合评分法，</w:t>
      </w:r>
      <w:r>
        <w:rPr>
          <w:rFonts w:hint="eastAsia" w:ascii="宋体" w:hAnsi="宋体"/>
          <w:color w:val="auto"/>
          <w:sz w:val="24"/>
          <w:highlight w:val="none"/>
        </w:rPr>
        <w:t xml:space="preserve">采购包1、2均采用此</w:t>
      </w:r>
      <w:r>
        <w:rPr>
          <w:rFonts w:ascii="宋体" w:hAnsi="宋体"/>
          <w:color w:val="auto"/>
          <w:sz w:val="24"/>
          <w:highlight w:val="none"/>
        </w:rPr>
        <w:t xml:space="preserve">评分标准</w:t>
      </w:r>
      <w:r>
        <w:rPr>
          <w:rFonts w:hint="eastAsia" w:ascii="宋体" w:hAnsi="宋体"/>
          <w:color w:val="auto"/>
          <w:sz w:val="24"/>
          <w:highlight w:val="none"/>
        </w:rPr>
        <w:t xml:space="preserve">。</w:t>
      </w:r>
      <w:r/>
    </w:p>
    <w:p>
      <w:pPr>
        <w:numPr>
          <w:ilvl w:val="0"/>
          <w:numId w:val="3"/>
        </w:numPr>
        <w:spacing w:line="519" w:lineRule="atLeast"/>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本项目共两个</w:t>
      </w:r>
      <w:r>
        <w:rPr>
          <w:rFonts w:hint="eastAsia" w:ascii="宋体" w:hAnsi="宋体"/>
          <w:color w:val="auto"/>
          <w:sz w:val="24"/>
          <w:highlight w:val="none"/>
        </w:rPr>
        <w:t xml:space="preserve">采购包</w:t>
      </w:r>
      <w:r>
        <w:rPr>
          <w:rFonts w:hint="eastAsia" w:ascii="宋体" w:hAnsi="宋体" w:cs="宋体"/>
          <w:color w:val="auto"/>
          <w:sz w:val="24"/>
          <w:szCs w:val="21"/>
          <w:highlight w:val="none"/>
        </w:rPr>
        <w:t xml:space="preserve">，供应商可同时参与两个</w:t>
      </w:r>
      <w:r>
        <w:rPr>
          <w:rFonts w:hint="eastAsia" w:ascii="宋体" w:hAnsi="宋体"/>
          <w:color w:val="auto"/>
          <w:sz w:val="24"/>
          <w:highlight w:val="none"/>
        </w:rPr>
        <w:t xml:space="preserve">采购包</w:t>
      </w:r>
      <w:r>
        <w:rPr>
          <w:rFonts w:hint="eastAsia" w:ascii="宋体" w:hAnsi="宋体" w:cs="宋体"/>
          <w:color w:val="auto"/>
          <w:sz w:val="24"/>
          <w:szCs w:val="21"/>
          <w:highlight w:val="none"/>
        </w:rPr>
        <w:t xml:space="preserve">的报价，但只能成交一个</w:t>
      </w:r>
      <w:r>
        <w:rPr>
          <w:rFonts w:hint="eastAsia" w:ascii="宋体" w:hAnsi="宋体"/>
          <w:color w:val="auto"/>
          <w:sz w:val="24"/>
          <w:highlight w:val="none"/>
        </w:rPr>
        <w:t xml:space="preserve">采购包</w:t>
      </w:r>
      <w:r>
        <w:rPr>
          <w:rFonts w:hint="eastAsia" w:ascii="宋体" w:hAnsi="宋体" w:cs="宋体"/>
          <w:color w:val="auto"/>
          <w:sz w:val="24"/>
          <w:szCs w:val="21"/>
          <w:highlight w:val="none"/>
        </w:rPr>
        <w:t xml:space="preserve">，成交顺序按照高低分值依次为</w:t>
      </w:r>
      <w:r>
        <w:rPr>
          <w:rFonts w:hint="eastAsia" w:ascii="宋体" w:hAnsi="宋体"/>
          <w:color w:val="auto"/>
          <w:sz w:val="24"/>
          <w:highlight w:val="none"/>
        </w:rPr>
        <w:t xml:space="preserve">采购包1</w:t>
      </w:r>
      <w:r>
        <w:rPr>
          <w:rFonts w:hint="eastAsia" w:ascii="宋体" w:hAnsi="宋体" w:cs="宋体"/>
          <w:color w:val="auto"/>
          <w:sz w:val="24"/>
          <w:szCs w:val="21"/>
          <w:highlight w:val="none"/>
        </w:rPr>
        <w:t xml:space="preserve">、</w:t>
      </w:r>
      <w:r>
        <w:rPr>
          <w:rFonts w:hint="eastAsia" w:ascii="宋体" w:hAnsi="宋体"/>
          <w:color w:val="auto"/>
          <w:sz w:val="24"/>
          <w:highlight w:val="none"/>
        </w:rPr>
        <w:t xml:space="preserve">采购包2</w:t>
      </w:r>
      <w:r>
        <w:rPr>
          <w:rFonts w:hint="eastAsia" w:ascii="宋体" w:hAnsi="宋体" w:cs="宋体"/>
          <w:color w:val="auto"/>
          <w:sz w:val="24"/>
          <w:szCs w:val="21"/>
          <w:highlight w:val="none"/>
        </w:rPr>
        <w:t xml:space="preserve">。</w:t>
      </w:r>
      <w:r/>
    </w:p>
    <w:p>
      <w:pPr>
        <w:numPr>
          <w:ilvl w:val="0"/>
          <w:numId w:val="3"/>
        </w:numPr>
        <w:spacing w:line="519" w:lineRule="atLeast"/>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评标委员会按照综合得分从高到低的顺序推荐中标候选人，</w:t>
      </w:r>
      <w:r>
        <w:rPr>
          <w:rFonts w:hint="eastAsia" w:ascii="宋体" w:hAnsi="宋体" w:cs="宋体"/>
          <w:b/>
          <w:color w:val="auto"/>
          <w:sz w:val="24"/>
          <w:szCs w:val="21"/>
          <w:highlight w:val="none"/>
        </w:rPr>
        <w:t xml:space="preserve">得分最高者为第一中标候选人、依次为第二中标候选人</w:t>
      </w:r>
      <w:r>
        <w:rPr>
          <w:rFonts w:hint="eastAsia" w:ascii="宋体" w:hAnsi="宋体" w:cs="宋体"/>
          <w:b/>
          <w:color w:val="auto"/>
          <w:sz w:val="24"/>
          <w:szCs w:val="21"/>
          <w:highlight w:val="none"/>
          <w:lang w:eastAsia="zh-CN"/>
        </w:rPr>
        <w:t xml:space="preserve">、</w:t>
      </w:r>
      <w:r>
        <w:rPr>
          <w:rFonts w:hint="eastAsia" w:ascii="宋体" w:hAnsi="宋体" w:cs="宋体"/>
          <w:b/>
          <w:color w:val="auto"/>
          <w:sz w:val="24"/>
          <w:szCs w:val="21"/>
          <w:highlight w:val="none"/>
          <w:lang w:val="en-US" w:eastAsia="zh-CN"/>
        </w:rPr>
        <w:t xml:space="preserve">第三中标候选人</w:t>
      </w:r>
      <w:r>
        <w:rPr>
          <w:rFonts w:hint="eastAsia" w:ascii="宋体" w:hAnsi="宋体" w:cs="宋体"/>
          <w:color w:val="auto"/>
          <w:sz w:val="24"/>
          <w:szCs w:val="21"/>
          <w:highlight w:val="none"/>
        </w:rPr>
        <w:t xml:space="preserve">。评审得分相同的，按照最后报价由低到高的顺序推荐。评审得分且最后报价相同的，按照技术方案指标优劣（得分）顺序由高到低推荐：</w:t>
      </w:r>
      <w:r/>
    </w:p>
    <w:p>
      <w:pPr>
        <w:spacing w:line="519" w:lineRule="atLeast"/>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（1）</w:t>
      </w:r>
      <w:r>
        <w:rPr>
          <w:rFonts w:hint="eastAsia" w:ascii="宋体" w:hAnsi="宋体" w:cs="宋体"/>
          <w:color w:val="auto"/>
          <w:sz w:val="24"/>
          <w:highlight w:val="none"/>
        </w:rPr>
        <w:t xml:space="preserve">对需维护设施的认识与理解</w:t>
      </w:r>
      <w:r>
        <w:rPr>
          <w:rFonts w:ascii="宋体" w:hAnsi="宋体" w:cs="宋体"/>
          <w:color w:val="auto"/>
          <w:sz w:val="24"/>
          <w:szCs w:val="21"/>
          <w:highlight w:val="none"/>
        </w:rPr>
        <w:t xml:space="preserve">得分高的优先；</w:t>
      </w:r>
      <w:r/>
    </w:p>
    <w:p>
      <w:pPr>
        <w:spacing w:line="519" w:lineRule="atLeast"/>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（2）</w:t>
      </w:r>
      <w:r>
        <w:rPr>
          <w:rFonts w:hint="eastAsia" w:ascii="宋体" w:hAnsi="宋体" w:cs="宋体"/>
          <w:color w:val="auto"/>
          <w:sz w:val="24"/>
          <w:highlight w:val="none"/>
        </w:rPr>
        <w:t xml:space="preserve">维护方案</w:t>
      </w:r>
      <w:r>
        <w:rPr>
          <w:rFonts w:ascii="宋体" w:hAnsi="宋体" w:cs="宋体"/>
          <w:color w:val="auto"/>
          <w:sz w:val="24"/>
          <w:szCs w:val="21"/>
          <w:highlight w:val="none"/>
        </w:rPr>
        <w:t xml:space="preserve">得分高的优先；</w:t>
      </w:r>
      <w:r/>
    </w:p>
    <w:p>
      <w:pPr>
        <w:spacing w:line="519" w:lineRule="atLeast"/>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（3）</w:t>
      </w:r>
      <w:r>
        <w:rPr>
          <w:rFonts w:hint="eastAsia" w:ascii="宋体" w:hAnsi="宋体" w:cs="宋体"/>
          <w:color w:val="auto"/>
          <w:sz w:val="24"/>
          <w:highlight w:val="none"/>
        </w:rPr>
        <w:t xml:space="preserve">专项应急救援预案</w:t>
      </w:r>
      <w:r>
        <w:rPr>
          <w:rFonts w:ascii="宋体" w:hAnsi="宋体" w:cs="宋体"/>
          <w:color w:val="auto"/>
          <w:sz w:val="24"/>
          <w:szCs w:val="21"/>
          <w:highlight w:val="none"/>
        </w:rPr>
        <w:t xml:space="preserve">得分高的优先</w:t>
      </w:r>
      <w:r>
        <w:rPr>
          <w:rFonts w:hint="eastAsia" w:ascii="宋体" w:hAnsi="宋体" w:cs="宋体"/>
          <w:color w:val="auto"/>
          <w:sz w:val="24"/>
          <w:szCs w:val="21"/>
          <w:highlight w:val="none"/>
        </w:rPr>
        <w:t xml:space="preserve">。</w:t>
      </w:r>
      <w:r/>
    </w:p>
    <w:p>
      <w:pPr>
        <w:spacing w:line="519" w:lineRule="atLeast"/>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r>
      <w:r/>
    </w:p>
    <w:p>
      <w:pPr>
        <w:spacing w:line="520" w:lineRule="exact"/>
        <w:rPr>
          <w:rFonts w:ascii="宋体" w:hAnsi="宋体" w:cs="宋体"/>
          <w:b/>
          <w:bCs/>
          <w:color w:val="auto"/>
          <w:sz w:val="24"/>
          <w:highlight w:val="none"/>
        </w:rPr>
      </w:pPr>
      <w:r>
        <w:rPr>
          <w:rFonts w:ascii="宋体" w:hAnsi="宋体" w:cs="宋体"/>
          <w:b/>
          <w:bCs/>
          <w:color w:val="auto"/>
          <w:sz w:val="24"/>
          <w:highlight w:val="none"/>
        </w:rPr>
      </w:r>
      <w:r/>
    </w:p>
    <w:p>
      <w:pPr>
        <w:numPr>
          <w:ilvl w:val="0"/>
          <w:numId w:val="2"/>
        </w:numPr>
        <w:jc w:val="center"/>
        <w:rPr>
          <w:rFonts w:ascii="宋体" w:hAnsi="宋体" w:cs="宋体"/>
          <w:b/>
          <w:bCs/>
          <w:color w:val="auto"/>
          <w:sz w:val="36"/>
          <w:szCs w:val="36"/>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ascii="宋体" w:hAnsi="宋体" w:cs="宋体"/>
          <w:b/>
          <w:bCs/>
          <w:color w:val="auto"/>
          <w:sz w:val="36"/>
          <w:szCs w:val="36"/>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400" w:lineRule="exact"/>
        <w:rPr>
          <w:rFonts w:ascii="宋体" w:hAnsi="宋体" w:cs="宋体"/>
          <w:color w:val="auto"/>
          <w:sz w:val="24"/>
          <w:szCs w:val="22"/>
          <w:highlight w:val="none"/>
        </w:rPr>
      </w:pPr>
      <w:r>
        <w:rPr>
          <w:rFonts w:hint="eastAsia" w:ascii="宋体" w:hAnsi="宋体" w:cs="宋体"/>
          <w:color w:val="auto"/>
          <w:sz w:val="24"/>
          <w:szCs w:val="22"/>
          <w:highlight w:val="none"/>
        </w:rPr>
        <w:t xml:space="preserve">一、本项目预算金额57.18万元，其中采购包1不接受超过采购项目预算金额42万元的报价，采购包2不接受超过采购项目预算金额15.18万元的报价。</w:t>
      </w:r>
      <w:r/>
    </w:p>
    <w:p>
      <w:pPr>
        <w:spacing w:line="400" w:lineRule="exact"/>
        <w:rPr>
          <w:rFonts w:ascii="宋体" w:hAnsi="宋体" w:cs="宋体"/>
          <w:color w:val="auto"/>
          <w:sz w:val="24"/>
          <w:szCs w:val="22"/>
          <w:highlight w:val="none"/>
        </w:rPr>
      </w:pPr>
      <w:r>
        <w:rPr>
          <w:rFonts w:hint="eastAsia" w:ascii="宋体" w:hAnsi="宋体" w:cs="宋体"/>
          <w:color w:val="auto"/>
          <w:sz w:val="24"/>
          <w:szCs w:val="22"/>
          <w:highlight w:val="none"/>
        </w:rPr>
        <w:t xml:space="preserve">二、</w:t>
      </w:r>
      <w:r>
        <w:rPr>
          <w:rFonts w:hint="eastAsia" w:ascii="宋体" w:hAnsi="宋体" w:cs="宋体"/>
          <w:b/>
          <w:bCs/>
          <w:color w:val="auto"/>
          <w:sz w:val="24"/>
          <w:szCs w:val="22"/>
          <w:highlight w:val="none"/>
        </w:rPr>
        <w:t xml:space="preserve">项目内容：</w:t>
      </w:r>
      <w:r>
        <w:rPr>
          <w:rFonts w:hint="eastAsia" w:ascii="宋体" w:hAnsi="宋体" w:cs="宋体"/>
          <w:color w:val="auto"/>
          <w:sz w:val="24"/>
          <w:highlight w:val="none"/>
          <w:lang w:eastAsia="zh-CN"/>
        </w:rPr>
        <w:t xml:space="preserve">行政中心及档案馆、数据局视频监控系统维保服务</w:t>
      </w:r>
      <w:r>
        <w:rPr>
          <w:rFonts w:hint="eastAsia" w:ascii="宋体" w:hAnsi="宋体" w:cs="宋体"/>
          <w:color w:val="auto"/>
          <w:sz w:val="24"/>
          <w:szCs w:val="22"/>
          <w:highlight w:val="none"/>
        </w:rPr>
        <w:t xml:space="preserve">，采购包1为行政中心一期、二期东区及西区（含机关医院）视频监控系统维保服务，采购包2为档案馆及数据局视频监控系统维保服务。</w:t>
      </w:r>
      <w:r/>
    </w:p>
    <w:p>
      <w:pPr>
        <w:spacing w:line="400" w:lineRule="exact"/>
        <w:rPr>
          <w:rFonts w:ascii="宋体" w:hAnsi="宋体" w:cs="宋体"/>
          <w:color w:val="auto"/>
          <w:sz w:val="24"/>
          <w:szCs w:val="22"/>
          <w:highlight w:val="none"/>
        </w:rPr>
      </w:pPr>
      <w:r>
        <w:rPr>
          <w:rFonts w:hint="eastAsia" w:ascii="宋体" w:hAnsi="宋体" w:cs="宋体"/>
          <w:b/>
          <w:bCs/>
          <w:color w:val="auto"/>
          <w:sz w:val="24"/>
          <w:szCs w:val="22"/>
          <w:highlight w:val="none"/>
        </w:rPr>
        <w:t xml:space="preserve">三、服务期限：</w:t>
      </w:r>
      <w:r>
        <w:rPr>
          <w:rFonts w:hint="eastAsia" w:ascii="宋体" w:hAnsi="宋体" w:cs="宋体"/>
          <w:color w:val="auto"/>
          <w:sz w:val="24"/>
          <w:szCs w:val="22"/>
          <w:highlight w:val="none"/>
        </w:rPr>
        <w:t xml:space="preserve">1年（2026年1月1日至2026年12月31日）</w:t>
      </w:r>
      <w:r/>
    </w:p>
    <w:p>
      <w:pPr>
        <w:spacing w:line="400" w:lineRule="exact"/>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四、维保设备清单</w:t>
      </w:r>
      <w:r/>
    </w:p>
    <w:p>
      <w:pPr>
        <w:spacing w:line="400" w:lineRule="exact"/>
        <w:rPr>
          <w:rFonts w:ascii="宋体" w:hAnsi="宋体" w:cs="宋体"/>
          <w:color w:val="auto"/>
          <w:sz w:val="24"/>
          <w:szCs w:val="22"/>
          <w:highlight w:val="none"/>
        </w:rPr>
      </w:pPr>
      <w:r>
        <w:rPr>
          <w:rFonts w:hint="eastAsia" w:ascii="宋体" w:hAnsi="宋体" w:cs="宋体"/>
          <w:color w:val="auto"/>
          <w:sz w:val="24"/>
          <w:szCs w:val="22"/>
          <w:highlight w:val="none"/>
        </w:rPr>
        <w:t xml:space="preserve">采购包1：行政中心一期、二期东区及西区（含机关医院）视频监控系统维保服务</w:t>
      </w:r>
      <w:r/>
    </w:p>
    <w:p>
      <w:pPr>
        <w:pStyle w:val="897"/>
        <w:jc w:val="center"/>
        <w:spacing w:after="0" w:line="360" w:lineRule="auto"/>
        <w:rPr>
          <w:rFonts w:ascii="宋体" w:hAnsi="宋体" w:cs="宋体"/>
          <w:b/>
          <w:bCs/>
          <w:color w:val="auto"/>
          <w:sz w:val="24"/>
          <w:highlight w:val="none"/>
        </w:rPr>
      </w:pPr>
      <w:r>
        <w:rPr>
          <w:rFonts w:hint="eastAsia" w:ascii="宋体" w:hAnsi="宋体" w:cs="宋体"/>
          <w:b/>
          <w:bCs/>
          <w:color w:val="auto"/>
          <w:sz w:val="24"/>
          <w:szCs w:val="22"/>
          <w:highlight w:val="none"/>
        </w:rPr>
        <w:t xml:space="preserve">行政中心一期、二期东区及西区</w:t>
      </w:r>
      <w:r>
        <w:rPr>
          <w:rFonts w:hint="eastAsia" w:ascii="宋体" w:hAnsi="宋体" w:cs="宋体"/>
          <w:b/>
          <w:bCs/>
          <w:color w:val="auto"/>
          <w:sz w:val="24"/>
          <w:szCs w:val="22"/>
          <w:highlight w:val="none"/>
          <w:lang w:eastAsia="zh-CN"/>
        </w:rPr>
        <w:t xml:space="preserve">（</w:t>
      </w:r>
      <w:r>
        <w:rPr>
          <w:rFonts w:hint="eastAsia" w:ascii="宋体" w:hAnsi="宋体" w:cs="宋体"/>
          <w:b/>
          <w:bCs/>
          <w:color w:val="auto"/>
          <w:sz w:val="24"/>
          <w:szCs w:val="22"/>
          <w:highlight w:val="none"/>
          <w:lang w:val="en-US" w:eastAsia="zh-CN"/>
        </w:rPr>
        <w:t xml:space="preserve">含机关医院</w:t>
      </w:r>
      <w:r>
        <w:rPr>
          <w:rFonts w:hint="eastAsia" w:ascii="宋体" w:hAnsi="宋体" w:cs="宋体"/>
          <w:b/>
          <w:bCs/>
          <w:color w:val="auto"/>
          <w:sz w:val="24"/>
          <w:szCs w:val="22"/>
          <w:highlight w:val="none"/>
          <w:lang w:eastAsia="zh-CN"/>
        </w:rPr>
        <w:t xml:space="preserve">）</w:t>
      </w:r>
      <w:r>
        <w:rPr>
          <w:rFonts w:hint="eastAsia" w:ascii="宋体" w:hAnsi="宋体" w:cs="宋体"/>
          <w:b/>
          <w:bCs/>
          <w:color w:val="auto"/>
          <w:sz w:val="24"/>
          <w:szCs w:val="22"/>
          <w:highlight w:val="none"/>
        </w:rPr>
        <w:t xml:space="preserve">视频监控系统维保清单</w:t>
      </w:r>
      <w:r/>
    </w:p>
    <w:tbl>
      <w:tblPr>
        <w:tblStyle w:val="89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261"/>
        <w:gridCol w:w="3061"/>
        <w:gridCol w:w="1041"/>
        <w:gridCol w:w="984"/>
        <w:gridCol w:w="1468"/>
      </w:tblGrid>
      <w:tr>
        <w:trPr>
          <w:jc w:val="center"/>
          <w:trHeight w:val="23"/>
        </w:trPr>
        <w:tc>
          <w:tcPr>
            <w:gridSpan w:val="6"/>
            <w:tcW w:w="9680" w:type="dxa"/>
            <w:textDirection w:val="lrTb"/>
            <w:noWrap/>
          </w:tcPr>
          <w:p>
            <w:pPr>
              <w:jc w:val="left"/>
              <w:widowControl/>
              <w:rPr>
                <w:rFonts w:ascii="宋体" w:hAnsi="宋体" w:cs="宋体"/>
                <w:b/>
                <w:color w:val="auto"/>
                <w:sz w:val="24"/>
                <w:szCs w:val="22"/>
                <w:highlight w:val="none"/>
              </w:rPr>
            </w:pPr>
            <w:r>
              <w:rPr>
                <w:rFonts w:hint="eastAsia" w:ascii="宋体" w:hAnsi="宋体" w:cs="宋体"/>
                <w:b/>
                <w:color w:val="auto"/>
                <w:sz w:val="24"/>
                <w:szCs w:val="22"/>
                <w:highlight w:val="none"/>
              </w:rPr>
              <w:t xml:space="preserve">一期视频监控设备清单</w:t>
            </w:r>
            <w:r/>
          </w:p>
        </w:tc>
      </w:tr>
      <w:tr>
        <w:trPr>
          <w:jc w:val="center"/>
          <w:trHeight w:val="23"/>
        </w:trPr>
        <w:tc>
          <w:tcPr>
            <w:tcW w:w="865" w:type="dxa"/>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序号</w:t>
            </w:r>
            <w:r/>
          </w:p>
        </w:tc>
        <w:tc>
          <w:tcPr>
            <w:tcW w:w="2261" w:type="dxa"/>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名称</w:t>
            </w:r>
            <w:r/>
          </w:p>
        </w:tc>
        <w:tc>
          <w:tcPr>
            <w:tcW w:w="3061" w:type="dxa"/>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品牌、型号</w:t>
            </w:r>
            <w:r/>
          </w:p>
        </w:tc>
        <w:tc>
          <w:tcPr>
            <w:tcW w:w="1041" w:type="dxa"/>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数量</w:t>
            </w:r>
            <w:r/>
          </w:p>
        </w:tc>
        <w:tc>
          <w:tcPr>
            <w:tcW w:w="984" w:type="dxa"/>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单位</w:t>
            </w:r>
            <w:r/>
          </w:p>
        </w:tc>
        <w:tc>
          <w:tcPr>
            <w:tcW w:w="1468" w:type="dxa"/>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备注说明</w:t>
            </w:r>
            <w:r/>
          </w:p>
        </w:tc>
      </w:tr>
      <w:tr>
        <w:trPr>
          <w:jc w:val="center"/>
          <w:trHeight w:val="23"/>
        </w:trPr>
        <w:tc>
          <w:tcPr>
            <w:gridSpan w:val="6"/>
            <w:tcW w:w="9680" w:type="dxa"/>
            <w:textDirection w:val="lrTb"/>
            <w:noWrap/>
          </w:tcPr>
          <w:p>
            <w:pPr>
              <w:jc w:val="left"/>
              <w:widowControl/>
              <w:rPr>
                <w:rFonts w:ascii="宋体" w:hAnsi="宋体" w:cs="宋体"/>
                <w:b/>
                <w:bCs/>
                <w:color w:val="auto"/>
                <w:sz w:val="24"/>
                <w:szCs w:val="22"/>
                <w:highlight w:val="none"/>
              </w:rPr>
            </w:pPr>
            <w:r>
              <w:rPr>
                <w:rFonts w:hint="eastAsia" w:ascii="宋体" w:hAnsi="宋体" w:cs="宋体"/>
                <w:color w:val="auto"/>
                <w:sz w:val="24"/>
                <w:szCs w:val="22"/>
                <w:highlight w:val="none"/>
              </w:rPr>
              <w:t xml:space="preserve">（一）智能建筑综合管理平台</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视频综合业务平台（含综合安防集成管理平台软件）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型号：KDM2801H-G2（CIMS-1000）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视频综合平台</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型号：KDM201</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中心管理服务器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品牌：DELL</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型号：R720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流媒体转发平台服务器(软硬件一体)</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型号：VS-MSS-100A</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数据库服务器(软硬件一体)</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品牌：DELL</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型号：R720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联动报警模块/电梯监视控制输入模块</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品牌：定制</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型号：定制</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核心交换机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型号：S7706</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12口万兆接口板</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            型号ES0D0X12SA00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汇聚交换机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型号：S5720-36C-EI-AC（含2个千兆光模块）</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服务器接入交换机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              型号：S5720-56C-EI-AC</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万兆多模光模块</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            型号：-SFP+-10G</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千兆单模模块</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            型号：SFP-GE-LX-SM1310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接入交换机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型号：S2700-26TP-SI-AC</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（二）出入口管理系统</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出入口管理平台（含系统软件）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型号：EIMS2000-L</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出入口管理终端</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型号：EIMS200-C100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抓拍单元</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型号：IPC625-AU</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车辆检测器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型号：SJ230S-R</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信息引导屏</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型号：LED206</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红绿信号灯</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tcPr>
          <w:p>
            <w:pPr>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（三）前端摄像设备</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智能检测变焦枪型摄像机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型号：IPC123-AN</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周界智能分析网络摄像机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型号：IPC123-HN</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智能检测红外低照度半球网络摄像机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型号：IPC2232-DN</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366</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防暴迷你半球型网络摄像机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型号：IPC2240-HN-S</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38</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高清BNC/RJ45 传输器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国产优质</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38</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对</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超低照度智能球形摄像机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型号：IPC421-E120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星光级超低照度红外智能球形摄像机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型号：IPC425-F120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50</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智能人脸识别网络摄像机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型号：IPC123-HN</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超高清智能分析枪型摄像机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型号：IPC185</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智能警戒全景一体机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w:t>
            </w:r>
            <w:r>
              <w:rPr>
                <w:rFonts w:ascii="宋体" w:hAnsi="宋体" w:cs="宋体"/>
                <w:bCs/>
                <w:color w:val="auto"/>
                <w:sz w:val="24"/>
                <w:szCs w:val="22"/>
                <w:highlight w:val="none"/>
              </w:rPr>
              <w:t xml:space="preserve">海康</w:t>
            </w:r>
            <w:r/>
          </w:p>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iDS-2SE7BMX</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智能警戒全景一体机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w:t>
            </w:r>
            <w:r>
              <w:rPr>
                <w:rFonts w:ascii="宋体" w:hAnsi="宋体" w:cs="宋体"/>
                <w:bCs/>
                <w:color w:val="auto"/>
                <w:sz w:val="24"/>
                <w:szCs w:val="22"/>
                <w:highlight w:val="none"/>
              </w:rPr>
              <w:t xml:space="preserve">海康</w:t>
            </w:r>
            <w:r/>
          </w:p>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iDS-2SE7AMX</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（四）智能分析系统</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视频质量诊断服务器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型号：IAS100-L</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周界智能分析服务器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品牌：科达、型号：IAS100-S100L-A</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人脸智能识别对比服务器(含软件)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型号：IAS2000-IA01-PA</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（五）视频显示控制系统</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LCD拼接显示单元(含拼接处理器、配套模块化底座及安装框架)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品牌：海康威视                                  型号46寸</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27</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网络键盘</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型号：KB-30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（六）网络智能存储服务器</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监控专用网络存储服务器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型号：VS200G-L-S64T</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20</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（七）存储硬盘及其他监控配套设备</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企业级服务器硬盘</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品牌：西部数据</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规格：4TB硬盘，转数：7200转。</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型号：4TB</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344</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周界智能分析网络摄像机固定支架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型号：CM-W12</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30</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智能球型摄像机安装支架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型号：DM-W43</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枪机壁装支架</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品牌：科达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型号：CM-W15</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周界智能分析网络摄像机周界摄像机立杆</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品牌：国产</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型号：定制</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13</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摄像机立杆</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品牌：国产</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型号：定制</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摄像机集中供电电源</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品牌：沃仕达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型号：12V20A</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摄像机独立供电电源</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品牌：沃仕达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型号：12V2A</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110</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数据缓存卡</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品牌：金士顿</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型号：32G</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100</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个</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KVM切换器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品牌：跃图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型号：KYT-1708</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管理台式电脑</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品牌：联想</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型号：启天M4550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服务器机柜</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品牌：图腾</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型号：42U</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电源控制柜</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品牌：定制</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型号：定制</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val="false"/>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14</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大屏专用高清连接线缆</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品牌：秋叶原</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规格：15m HDMI成品线</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型号：定制</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27</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根</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15</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LED信息发布屏</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品牌：众鼎</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型号：zd-sn-3.7</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3.15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m2</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16</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光纤收发器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品牌：F-COM</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型号：FFE100-SB-SC1A、FFE100-SB-SC1B</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88</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对</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（八）拾音系统</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拾音器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品牌：烽火</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型号：NIS-30N</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电源适配器</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品牌：烽火</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型号：HA-200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台式音箱</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品牌：漫步者</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型号：R10U</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gridSpan w:val="6"/>
            <w:tcW w:w="9680" w:type="dxa"/>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（九）院外监控系统</w:t>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硬盘录像机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品牌：海康威视</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型号：8616N-K8</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高清室外枪机</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品牌：海康威视</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型号：DS-2CD3T25D-I3</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高清室内半球</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品牌：海康威视</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型号：DS-2CD3325F</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拾音器（室内）</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品牌：快鱼</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型号：WAV320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拾音器（室外）</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品牌：快鱼</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型号：F50</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监视器43寸</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品牌：海康威视</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型号：DS-D5043QD</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硬盘</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品牌：WD</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型号：WD4T/7200转</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23"/>
        </w:trPr>
        <w:tc>
          <w:tcPr>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交换机24口</w:t>
            </w:r>
            <w:r/>
          </w:p>
        </w:tc>
        <w:tc>
          <w:tcPr>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品牌：华为</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型号：S2700-26TP-SI-AC</w:t>
            </w:r>
            <w:r/>
          </w:p>
        </w:tc>
        <w:tc>
          <w:tcPr>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tcW w:w="1468" w:type="dxa"/>
            <w:vAlign w:val="center"/>
            <w:textDirection w:val="lrTb"/>
            <w:noWrap/>
          </w:tcPr>
          <w:p>
            <w:pPr>
              <w:jc w:val="center"/>
              <w:widowControl/>
              <w:rPr>
                <w:rFonts w:ascii="宋体" w:hAnsi="宋体" w:cs="宋体"/>
                <w:bCs/>
                <w:color w:val="auto"/>
                <w:sz w:val="24"/>
                <w:szCs w:val="22"/>
                <w:highlight w:val="none"/>
              </w:rPr>
            </w:pPr>
            <w:r>
              <w:rPr>
                <w:rFonts w:ascii="宋体" w:hAnsi="宋体" w:cs="宋体"/>
                <w:bCs/>
                <w:color w:val="auto"/>
                <w:sz w:val="24"/>
                <w:szCs w:val="22"/>
                <w:highlight w:val="none"/>
              </w:rPr>
            </w:r>
            <w:r/>
          </w:p>
        </w:tc>
      </w:tr>
      <w:tr>
        <w:trPr>
          <w:jc w:val="center"/>
          <w:trHeight w:val="426"/>
        </w:trPr>
        <w:tc>
          <w:tcPr>
            <w:gridSpan w:val="6"/>
            <w:tcW w:w="9680" w:type="dxa"/>
            <w:vAlign w:val="center"/>
            <w:textDirection w:val="lrTb"/>
            <w:noWrap w:val="false"/>
          </w:tcPr>
          <w:p>
            <w:pPr>
              <w:jc w:val="left"/>
              <w:widowControl/>
              <w:rPr>
                <w:rFonts w:ascii="宋体" w:hAnsi="宋体" w:cs="宋体"/>
                <w:b/>
                <w:color w:val="auto"/>
                <w:sz w:val="24"/>
                <w:szCs w:val="22"/>
                <w:highlight w:val="none"/>
              </w:rPr>
            </w:pPr>
            <w:r>
              <w:rPr>
                <w:rFonts w:hint="eastAsia" w:ascii="宋体" w:hAnsi="宋体" w:cs="宋体"/>
                <w:b/>
                <w:color w:val="auto"/>
                <w:sz w:val="24"/>
                <w:highlight w:val="none"/>
              </w:rPr>
              <w:t xml:space="preserve">二期东区视频监控系统设备维保清单</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序号</w:t>
            </w:r>
            <w:r/>
          </w:p>
        </w:tc>
        <w:tc>
          <w:tcPr>
            <w:shd w:val="clear" w:color="auto" w:fill="auto"/>
            <w:tcW w:w="226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名称</w:t>
            </w:r>
            <w:r/>
          </w:p>
        </w:tc>
        <w:tc>
          <w:tcPr>
            <w:shd w:val="clear" w:color="auto" w:fill="auto"/>
            <w:tcW w:w="306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型号</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单位</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数量</w:t>
            </w:r>
            <w:r/>
          </w:p>
        </w:tc>
        <w:tc>
          <w:tcPr>
            <w:shd w:val="clear" w:color="auto" w:fill="auto"/>
            <w:tcW w:w="1468" w:type="dxa"/>
            <w:vAlign w:val="center"/>
            <w:textDirection w:val="lrTb"/>
            <w:noWrap/>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品牌</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（1）视频监控综合应用管理平台</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东区A区汇聚集线设备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东区B区汇聚集线设备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地下室及电梯汇聚集线设备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室外及外围汇聚集线设备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东区核心集线设备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S8612E</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云存储集线设备(监控室）</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RG-S5750C-48GT4XS-H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万兆光模块</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XG-SFP-SR-MM850</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单模千兆模块</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MINI-GBIC-LX-SM1310</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48</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视频综合业务平台</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iSecure center</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流媒体工作站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DS-VE22S-B</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（2）前端摄像设备</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出入口超星光智能分析设备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iDS-2PT9YT-D</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室外星光级红外枪机</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DS-2CD2T4Y-L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142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室内红外星光级防爆半球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DS-2CD234Y-L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314</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热成像智能分析设备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DS-2TD2Y36-T</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电梯专用红外偏心半球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DS-2CD252Y-XJ</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室内鱼眼半球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DS-2CD63C5Y-Z</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高空球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iDS-2DF84Y-XH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室外超星光红外球机</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iDS-2DF84Y-XL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高空守望者</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iDS-2DP08Y-XJ</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（3）智能分析系统</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智能运维管理系统</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iSecure center运维</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智能网络视频质量诊断工作站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DS-IE6200-E/D</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智能网络视频行为分析工作站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DS-IE6200-E/HW</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智能视频监控一体机</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iDS-9632NX-I8/S(4×8TB AI硬盘)</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（4）视频显示控制系统</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视频综合平台</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DS-B20-S05-A</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H.265解码卡</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DS-6916UD-B20H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55寸高亮液晶拼接屏(含拼接处理器、配套模块化底座及安装框架、HDMI高清大屏线缆)</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DS-D2055NY-J</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网络键盘</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DS-1600K</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（5）云存储工作站</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元数据工作站节点</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DS-A5120RL-CVMN</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云存储管理软件</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iVMS-5120</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云存储运维工作站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DS-A5120R-CVNN</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云存储节点</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DS-A7YL48R</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企业硬盘</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HKS726T6TALE-31</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224</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szCs w:val="22"/>
                <w:highlight w:val="none"/>
              </w:rPr>
              <w:t xml:space="preserve">（6）其他监控配套设备</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管理台式工作站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ascii="宋体" w:hAnsi="宋体" w:cs="宋体"/>
                <w:bCs/>
                <w:color w:val="auto"/>
                <w:sz w:val="24"/>
                <w:szCs w:val="22"/>
                <w:highlight w:val="none"/>
              </w:rPr>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国产优质</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电源控制柜</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ascii="宋体" w:hAnsi="宋体" w:cs="宋体"/>
                <w:bCs/>
                <w:color w:val="auto"/>
                <w:sz w:val="24"/>
                <w:szCs w:val="22"/>
                <w:highlight w:val="none"/>
              </w:rPr>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国产优质</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光纤收发器</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ascii="宋体" w:hAnsi="宋体" w:cs="宋体"/>
                <w:bCs/>
                <w:color w:val="auto"/>
                <w:sz w:val="24"/>
                <w:szCs w:val="22"/>
                <w:highlight w:val="none"/>
              </w:rPr>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对</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40</w:t>
            </w:r>
            <w:r/>
          </w:p>
        </w:tc>
        <w:tc>
          <w:tcPr>
            <w:shd w:val="clear" w:color="auto" w:fill="auto"/>
            <w:tcW w:w="146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国产优质</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
                <w:color w:val="auto"/>
                <w:sz w:val="24"/>
                <w:highlight w:val="none"/>
              </w:rPr>
              <w:t xml:space="preserve">二期西区视频监控系统设备维保清单</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序号</w:t>
            </w:r>
            <w:r/>
          </w:p>
        </w:tc>
        <w:tc>
          <w:tcPr>
            <w:shd w:val="clear" w:color="auto" w:fill="auto"/>
            <w:tcW w:w="226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名称</w:t>
            </w:r>
            <w:r/>
          </w:p>
        </w:tc>
        <w:tc>
          <w:tcPr>
            <w:shd w:val="clear" w:color="auto" w:fill="auto"/>
            <w:tcW w:w="306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型号</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单位</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数量</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（1）视频监控综合应用管理平台</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西区A区汇聚集线设备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西区B区汇聚集线设备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地下室及电梯汇聚集线设备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室外及外围汇聚集线设备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医院汇聚集线设备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西区核心集线设备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S8612E</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云存储集线设备(监控室）</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RG-S5750C-48GT4XS-H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万兆光模块</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XG-SFP-SR-MM850</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单模千兆模块</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MINI-GBIC-LX-SM1310</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视频综合业务平台</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iSecure center</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流媒体工作站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DS-VE22S-B</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（2）前端摄像设备</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出入口超星光智能分析设备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iDS-2PT9YT-D</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室外星光级红外枪机</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DS-2CD2T4Y-L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室内红外星光级防爆半球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DS-2CD234Y-L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470</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热成像智能分析设备</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DS-2TD2Y36-T</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电梯专用红外偏心半球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DS-2CD252Y-XJ</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室内鱼眼半球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DS-2CD63C5Y-Z</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高空球</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iDS-2DF84Y-XH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室外超星光红外球机</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iDS-2DF84Y-XL</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高空守望者</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iDS-2DP08Y-XJ</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（3）智能分析系统</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智能运维管理系统</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iSecure center运维</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智能网络视频质量诊断工作站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DS-IE6200-E/D</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智能网络视频行为分析工作站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DS-IE6200-E/HW</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智能视频监控一体机</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iDS-9632NX-I8/S(4×8TB AI硬盘)</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（4）视频显示控制系统</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视频综合平台</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DS-B20-S05-A</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H.265解码卡</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DS-6916UD-B20H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55寸高亮液晶拼接屏(含拼接处理器、配套模块化底座及安装框架、HDMI高清大屏线缆)</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DS-D2055NY-J</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网络键盘</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DS-1600K</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（5）云存储工作站</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元数据工作站节点</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DS-A5120RL-CVMN</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云存储管理软件</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iVMS-5120</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云存储运维工作站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DS-A5120R-CVNN</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云存储节点</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DS-A7YL48R</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企业硬盘</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HKS726T6TALE-31</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298</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（6）其他监控配套设备</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管理台式工作站</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I5</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联想</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电源控制柜</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定制</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国产优质</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光纤收发器</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100/1000M</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对</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40</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TP-Link</w:t>
            </w:r>
            <w:r/>
          </w:p>
        </w:tc>
      </w:tr>
      <w:tr>
        <w:trPr>
          <w:jc w:val="center"/>
          <w:trHeight w:val="23"/>
        </w:trPr>
        <w:tc>
          <w:tcPr>
            <w:gridSpan w:val="6"/>
            <w:shd w:val="clear" w:color="auto" w:fill="auto"/>
            <w:tcW w:w="9680"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（7）UPS系统</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UPS电源</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MDR090/15X</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戴克森</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蓄电池</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12V120AH</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节</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96</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戴克森</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电池柜</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BP-32</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国标</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直流断路器</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DC160A</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国标</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电池连接线</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BVR25mm配铜鼻子</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根</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96</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国产</w:t>
            </w:r>
            <w:r/>
          </w:p>
        </w:tc>
      </w:tr>
      <w:tr>
        <w:trPr>
          <w:jc w:val="center"/>
          <w:trHeight w:val="23"/>
        </w:trPr>
        <w:tc>
          <w:tcPr>
            <w:shd w:val="clear" w:color="auto" w:fill="auto"/>
            <w:tcW w:w="865"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W w:w="22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恒温设备 </w:t>
            </w:r>
            <w:r/>
          </w:p>
        </w:tc>
        <w:tc>
          <w:tcPr>
            <w:shd w:val="clear" w:color="auto" w:fill="auto"/>
            <w:tcW w:w="3061" w:type="dxa"/>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五匹</w:t>
            </w:r>
            <w:r/>
          </w:p>
        </w:tc>
        <w:tc>
          <w:tcPr>
            <w:shd w:val="clear" w:color="auto" w:fill="auto"/>
            <w:tcW w:w="1041"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W w:w="984"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W w:w="1468" w:type="dxa"/>
            <w:vAlign w:val="center"/>
            <w:textDirection w:val="lrTb"/>
            <w:noWrap w:val="false"/>
          </w:tcPr>
          <w:p>
            <w:pPr>
              <w:jc w:val="center"/>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格力</w:t>
            </w:r>
            <w:r/>
          </w:p>
        </w:tc>
      </w:tr>
    </w:tbl>
    <w:p>
      <w:pPr>
        <w:pStyle w:val="897"/>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szCs w:val="22"/>
          <w:highlight w:val="none"/>
        </w:rPr>
      </w:pPr>
      <w:r>
        <w:rPr>
          <w:rFonts w:hint="eastAsia" w:ascii="宋体" w:hAnsi="宋体" w:cs="宋体"/>
          <w:color w:val="auto"/>
          <w:sz w:val="24"/>
          <w:szCs w:val="22"/>
          <w:highlight w:val="none"/>
        </w:rPr>
        <w:t xml:space="preserve">采购包2</w:t>
      </w:r>
      <w:r>
        <w:rPr>
          <w:rFonts w:hint="eastAsia" w:ascii="宋体" w:hAnsi="宋体" w:cs="宋体"/>
          <w:b/>
          <w:bCs/>
          <w:color w:val="auto"/>
          <w:sz w:val="24"/>
          <w:szCs w:val="22"/>
          <w:highlight w:val="none"/>
        </w:rPr>
        <w:t xml:space="preserve">：档案馆及数据局视频监控系统维保服务项目</w:t>
      </w:r>
      <w:r/>
    </w:p>
    <w:p>
      <w:pPr>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档案馆及数据局视频监控系统维保清单</w:t>
      </w:r>
      <w:r/>
    </w:p>
    <w:tbl>
      <w:tblPr>
        <w:tblStyle w:val="871"/>
        <w:tblW w:w="5798" w:type="pct"/>
        <w:tblInd w:w="-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6"/>
        <w:gridCol w:w="2279"/>
        <w:gridCol w:w="3076"/>
        <w:gridCol w:w="1023"/>
        <w:gridCol w:w="963"/>
        <w:gridCol w:w="1476"/>
      </w:tblGrid>
      <w:tr>
        <w:trPr>
          <w:trHeight w:val="285"/>
        </w:trPr>
        <w:tc>
          <w:tcPr>
            <w:gridSpan w:val="6"/>
            <w:tcMar>
              <w:left w:w="15" w:type="dxa"/>
              <w:top w:w="15" w:type="dxa"/>
              <w:right w:w="15" w:type="dxa"/>
            </w:tcMar>
            <w:tcW w:w="5000" w:type="pct"/>
            <w:vAlign w:val="center"/>
            <w:textDirection w:val="lrTb"/>
            <w:noWrap/>
          </w:tcPr>
          <w:p>
            <w:pPr>
              <w:widowControl/>
              <w:rPr>
                <w:rFonts w:ascii="宋体" w:hAnsi="宋体" w:cs="宋体"/>
                <w:bCs/>
                <w:color w:val="auto"/>
                <w:sz w:val="24"/>
                <w:szCs w:val="22"/>
                <w:highlight w:val="none"/>
              </w:rPr>
            </w:pPr>
            <w:r>
              <w:rPr>
                <w:rFonts w:hint="eastAsia" w:ascii="宋体" w:hAnsi="宋体" w:cs="宋体"/>
                <w:b/>
                <w:color w:val="auto"/>
                <w:sz w:val="24"/>
                <w:highlight w:val="none"/>
              </w:rPr>
              <w:t xml:space="preserve">档案馆视频监控系统设备维保清单</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序号</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名称</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型号</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单位</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数量</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品牌</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（1）视频监控综合应用管理平台</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北档案馆汇聚集线设备</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南档案馆汇聚集线设备</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地下车库及外围汇聚集线设备</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RG-DS5730-24GT4SFP-L</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档案馆核心集线设备</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S8612E</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云存储集线设备(监控室）</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RG-S5750C-48GT4XS-H</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万兆光模块</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XG-SFP-SR-MM850</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单模千兆模块</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MINI-GBIC-LX-SM1310</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38</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锐捷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视频综合业务平台</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iSecure center</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流媒体工作站</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DS-VE22S-B</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（2）前端摄像设备</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出入口超星光智能分析设备</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iDS-2PT9YT-D</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人脸抓拍设备</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DS-2CD762Y-XJ</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室外星光级红外枪机</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DS-2CD2T4Y-L</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室内红外星光级半球</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DS-2CD234Y-L</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186</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电梯专用红外偏心半球</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DS-2CD252Y-XJ</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室内鱼眼半球</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DS-2CD63C5Y-Z</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高空球</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iDS-2DF84Y-XH</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室外超星光红外球机</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iDS-2DF84Y-XL</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高空守望者</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iDS-2DP08Y-XJ</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（3）智能分析系统</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智能运维管理系统</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iSecure center运维</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智能网络视频质量诊断工作站</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DS-IE6200-E/D</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智能网络视频行为分析工作站</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DS-IE6200-E/HW</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智能视频监控一体机</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iDS-9632NX-I8/S(4×8TB AI硬盘)</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（4）视频显示控制系统</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视频综合平台</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DS-B20-S05-A</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H.265解码卡</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DS-6916UD-B20H</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55寸高亮液晶拼接屏(含拼接处理器、配套模块化底座及安装框架、HDMI高清大屏线缆)</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DS-D2055NY-J</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网络键盘</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DS-1600K</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（5）云存储工作站</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元数据工作站节点</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DS-A5120RL-CVMN</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云存储管理软件</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iVMS-5120</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云存储运维工作站</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DS-A5120R-CVNN</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云存储节点</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DS-A7YL48R</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企业硬盘</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HKS726T6TALE-31</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152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海康</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（6）其他监控配套设备</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管理台式工作站</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启天4150</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联想</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16</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电源控制柜</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定制</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国产优质</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18</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光纤收发器</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HTB-4100AB</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对</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30</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netLINK</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（7）UPS系统</w:t>
            </w:r>
            <w:r/>
          </w:p>
        </w:tc>
      </w:tr>
      <w:tr>
        <w:trPr>
          <w:trHeight w:val="570"/>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UPS电源</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机架XP90R/15R；模块</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XPM15R*5</w:t>
            </w:r>
            <w:r/>
          </w:p>
        </w:tc>
        <w:tc>
          <w:tcPr>
            <w:shd w:val="clear" w:color="auto" w:fill="auto"/>
            <w:tcMar>
              <w:left w:w="15" w:type="dxa"/>
              <w:top w:w="15" w:type="dxa"/>
              <w:right w:w="15" w:type="dxa"/>
            </w:tcMar>
            <w:tcW w:w="529" w:type="pct"/>
            <w:vAlign w:val="center"/>
            <w:textDirection w:val="lrTb"/>
            <w:noWrap w:val="false"/>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安耐威</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蓄电池</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AFM-P12120</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节</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64</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安耐威</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电池柜</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32节电池柜</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奥思特</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直流断路器</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160A3P</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套</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正泰电器</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电池连接线</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BVR35平方</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根</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64</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铜山电缆</w:t>
            </w:r>
            <w:r/>
          </w:p>
        </w:tc>
      </w:tr>
      <w:tr>
        <w:trPr>
          <w:trHeight w:val="285"/>
        </w:trPr>
        <w:tc>
          <w:tcPr>
            <w:tcMar>
              <w:left w:w="15" w:type="dxa"/>
              <w:top w:w="15" w:type="dxa"/>
              <w:right w:w="15" w:type="dxa"/>
            </w:tcMar>
            <w:tcW w:w="442"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w:t>
            </w:r>
            <w:r/>
          </w:p>
        </w:tc>
        <w:tc>
          <w:tcPr>
            <w:tcMar>
              <w:left w:w="15" w:type="dxa"/>
              <w:top w:w="15" w:type="dxa"/>
              <w:right w:w="15" w:type="dxa"/>
            </w:tcMar>
            <w:tcW w:w="117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恒温设备 </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KFRd-125QW/21DAH13</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台</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海尔</w:t>
            </w:r>
            <w:r/>
          </w:p>
        </w:tc>
      </w:tr>
      <w:tr>
        <w:trPr>
          <w:trHeight w:val="285"/>
        </w:trPr>
        <w:tc>
          <w:tcPr>
            <w:gridSpan w:val="6"/>
            <w:tcMar>
              <w:left w:w="15" w:type="dxa"/>
              <w:top w:w="15" w:type="dxa"/>
              <w:right w:w="15" w:type="dxa"/>
            </w:tcMar>
            <w:tcW w:w="5000" w:type="pct"/>
            <w:vAlign w:val="center"/>
            <w:textDirection w:val="lrTb"/>
            <w:noWrap/>
          </w:tcPr>
          <w:p>
            <w:pPr>
              <w:jc w:val="left"/>
              <w:widowControl/>
              <w:rPr>
                <w:rFonts w:ascii="宋体" w:hAnsi="宋体" w:cs="宋体"/>
                <w:bCs/>
                <w:color w:val="auto"/>
                <w:sz w:val="24"/>
                <w:szCs w:val="22"/>
                <w:highlight w:val="none"/>
              </w:rPr>
            </w:pPr>
            <w:r>
              <w:rPr>
                <w:rFonts w:hint="eastAsia" w:ascii="宋体" w:hAnsi="宋体" w:cs="宋体"/>
                <w:b/>
                <w:color w:val="auto"/>
                <w:sz w:val="24"/>
                <w:highlight w:val="none"/>
              </w:rPr>
              <w:t xml:space="preserve">数据局视频监控系统维保服务清单</w:t>
            </w:r>
            <w:r/>
          </w:p>
        </w:tc>
      </w:tr>
      <w:tr>
        <w:trPr>
          <w:trHeight w:val="285"/>
        </w:trPr>
        <w:tc>
          <w:tcPr>
            <w:shd w:val="clear" w:color="auto" w:fill="auto"/>
            <w:tcMar>
              <w:left w:w="15" w:type="dxa"/>
              <w:top w:w="15" w:type="dxa"/>
              <w:right w:w="15" w:type="dxa"/>
            </w:tcMar>
            <w:tcW w:w="442" w:type="pct"/>
            <w:vAlign w:val="center"/>
            <w:textDirection w:val="lrTb"/>
            <w:noWrap/>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shd w:val="clear" w:color="auto" w:fill="auto"/>
            <w:tcMar>
              <w:left w:w="15" w:type="dxa"/>
              <w:top w:w="15" w:type="dxa"/>
              <w:right w:w="15" w:type="dxa"/>
            </w:tcMar>
            <w:tcW w:w="1178" w:type="pct"/>
            <w:vAlign w:val="center"/>
            <w:textDirection w:val="lrTb"/>
            <w:noWrap/>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名称</w:t>
            </w:r>
            <w:r/>
          </w:p>
        </w:tc>
        <w:tc>
          <w:tcPr>
            <w:shd w:val="clear" w:color="auto" w:fill="auto"/>
            <w:tcMar>
              <w:left w:w="15" w:type="dxa"/>
              <w:top w:w="15" w:type="dxa"/>
              <w:right w:w="15" w:type="dxa"/>
            </w:tcMar>
            <w:tcW w:w="1590" w:type="pct"/>
            <w:vAlign w:val="center"/>
            <w:textDirection w:val="lrTb"/>
            <w:noWrap/>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型号</w:t>
            </w:r>
            <w:r/>
          </w:p>
        </w:tc>
        <w:tc>
          <w:tcPr>
            <w:shd w:val="clear" w:color="auto" w:fill="auto"/>
            <w:tcMar>
              <w:left w:w="15" w:type="dxa"/>
              <w:top w:w="15" w:type="dxa"/>
              <w:right w:w="15" w:type="dxa"/>
            </w:tcMar>
            <w:tcW w:w="529" w:type="pct"/>
            <w:vAlign w:val="center"/>
            <w:textDirection w:val="lrTb"/>
            <w:noWrap/>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单位</w:t>
            </w:r>
            <w:r/>
          </w:p>
        </w:tc>
        <w:tc>
          <w:tcPr>
            <w:shd w:val="clear" w:color="auto" w:fill="auto"/>
            <w:tcMar>
              <w:left w:w="15" w:type="dxa"/>
              <w:top w:w="15" w:type="dxa"/>
              <w:right w:w="15" w:type="dxa"/>
            </w:tcMar>
            <w:tcW w:w="498" w:type="pct"/>
            <w:vAlign w:val="center"/>
            <w:textDirection w:val="lrTb"/>
            <w:noWrap/>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shd w:val="clear" w:color="auto" w:fill="auto"/>
            <w:tcMar>
              <w:left w:w="15" w:type="dxa"/>
              <w:top w:w="15" w:type="dxa"/>
              <w:right w:w="15" w:type="dxa"/>
            </w:tcMar>
            <w:tcW w:w="759" w:type="pct"/>
            <w:vAlign w:val="center"/>
            <w:textDirection w:val="lrTb"/>
            <w:noWrap/>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品牌</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监控摄像设备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DS-2CD2320D-I</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66</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监控摄像设备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DS-2CD2T20D-I3</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61</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监控摄像设备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DS-2DE7220IW-A</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监控摄像设备（电梯）</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DS-2CD2512F-IS</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视频控制设备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DS-VE2208C-BBC(含WindowsServer2008R2简体中文标准版)</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显示设备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DS-VE2208C-BBC(含WindowsServer2008R2简体中文标准版)</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存储设备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DS-A71024R</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存储设备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ST4000VX000</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块</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57</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希捷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9</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显示设备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46寸</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Skyworth/深圳</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输入设备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定制</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Skyworth/深圳</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11</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控制设备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3653-r13n8b</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戴尔</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控制设备</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DS-1100K</w:t>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台</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海康</w:t>
            </w:r>
            <w:r/>
          </w:p>
        </w:tc>
      </w:tr>
      <w:tr>
        <w:trPr>
          <w:trHeight w:val="285"/>
        </w:trPr>
        <w:tc>
          <w:tcPr>
            <w:shd w:val="clear" w:color="auto" w:fill="auto"/>
            <w:tcW w:w="442"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13</w:t>
            </w:r>
            <w:r/>
          </w:p>
        </w:tc>
        <w:tc>
          <w:tcPr>
            <w:shd w:val="clear" w:color="auto" w:fill="auto"/>
            <w:tcW w:w="117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控制器</w:t>
            </w:r>
            <w:r/>
          </w:p>
        </w:tc>
        <w:tc>
          <w:tcPr>
            <w:shd w:val="clear" w:color="auto" w:fill="auto"/>
            <w:tcW w:w="1590" w:type="pct"/>
            <w:vAlign w:val="bottom"/>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shd w:val="clear" w:color="auto" w:fill="auto"/>
            <w:tcW w:w="52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套</w:t>
            </w:r>
            <w:r/>
          </w:p>
        </w:tc>
        <w:tc>
          <w:tcPr>
            <w:shd w:val="clear" w:color="auto" w:fill="auto"/>
            <w:tcW w:w="498"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shd w:val="clear" w:color="auto" w:fill="auto"/>
            <w:tcW w:w="759" w:type="pct"/>
            <w:vAlign w:val="bottom"/>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国产</w:t>
            </w:r>
            <w:r/>
          </w:p>
        </w:tc>
      </w:tr>
    </w:tbl>
    <w:p>
      <w:pPr>
        <w:rPr>
          <w:rFonts w:ascii="宋体" w:hAnsi="宋体" w:cs="宋体"/>
          <w:b/>
          <w:bCs/>
          <w:color w:val="auto"/>
          <w:sz w:val="24"/>
          <w:highlight w:val="none"/>
        </w:rPr>
      </w:pPr>
      <w:r>
        <w:rPr>
          <w:rFonts w:hint="eastAsia" w:ascii="宋体" w:hAnsi="宋体" w:cs="宋体"/>
          <w:b/>
          <w:bCs/>
          <w:color w:val="auto"/>
          <w:sz w:val="24"/>
          <w:highlight w:val="none"/>
        </w:rPr>
        <w:t xml:space="preserve"> </w:t>
      </w:r>
      <w:r/>
    </w:p>
    <w:p>
      <w:pPr>
        <w:ind w:right="1440"/>
        <w:spacing w:after="120" w:line="360" w:lineRule="auto"/>
        <w:rPr>
          <w:rFonts w:ascii="宋体" w:hAnsi="宋体" w:cs="宋体"/>
          <w:b/>
          <w:color w:val="auto"/>
          <w:sz w:val="24"/>
          <w:highlight w:val="none"/>
        </w:rPr>
      </w:pPr>
      <w:r>
        <w:rPr>
          <w:rFonts w:hint="eastAsia" w:ascii="宋体" w:hAnsi="宋体" w:cs="宋体"/>
          <w:b/>
          <w:color w:val="auto"/>
          <w:sz w:val="24"/>
          <w:highlight w:val="none"/>
        </w:rPr>
        <w:t xml:space="preserve">五、采购人及服务方责任义务要求：</w:t>
      </w:r>
      <w:r/>
    </w:p>
    <w:p>
      <w:pPr>
        <w:spacing w:line="360" w:lineRule="auto"/>
        <w:rPr>
          <w:rFonts w:ascii="宋体" w:hAnsi="宋体"/>
          <w:color w:val="auto"/>
          <w:sz w:val="24"/>
          <w:highlight w:val="none"/>
        </w:rPr>
      </w:pPr>
      <w:r>
        <w:rPr>
          <w:rFonts w:hint="eastAsia" w:ascii="宋体" w:hAnsi="宋体"/>
          <w:color w:val="auto"/>
          <w:sz w:val="24"/>
          <w:highlight w:val="none"/>
        </w:rPr>
        <w:t xml:space="preserve">1、采购人责任和义务：</w:t>
      </w:r>
      <w:r/>
    </w:p>
    <w:p>
      <w:pPr>
        <w:spacing w:line="360" w:lineRule="auto"/>
        <w:rPr>
          <w:rFonts w:ascii="宋体" w:hAnsi="宋体"/>
          <w:color w:val="auto"/>
          <w:sz w:val="24"/>
          <w:highlight w:val="none"/>
        </w:rPr>
      </w:pPr>
      <w:r>
        <w:rPr>
          <w:rFonts w:hint="eastAsia" w:ascii="宋体" w:hAnsi="宋体"/>
          <w:color w:val="auto"/>
          <w:sz w:val="24"/>
          <w:highlight w:val="none"/>
        </w:rPr>
        <w:t xml:space="preserve">（1）采购人应按照合同约定向服务方支付维护费用。</w:t>
      </w:r>
      <w:r/>
    </w:p>
    <w:p>
      <w:pPr>
        <w:spacing w:line="360" w:lineRule="auto"/>
        <w:rPr>
          <w:rFonts w:ascii="宋体" w:hAnsi="宋体"/>
          <w:color w:val="auto"/>
          <w:sz w:val="24"/>
          <w:highlight w:val="none"/>
        </w:rPr>
      </w:pPr>
      <w:r>
        <w:rPr>
          <w:rFonts w:hint="eastAsia" w:ascii="宋体" w:hAnsi="宋体"/>
          <w:color w:val="auto"/>
          <w:sz w:val="24"/>
          <w:highlight w:val="none"/>
        </w:rPr>
        <w:t xml:space="preserve">（2）采购人应做好对网点监控系统的保护，教育员工按照规范操作、按期检查系统运行情况及资料录入情况。</w:t>
      </w:r>
      <w:r/>
    </w:p>
    <w:p>
      <w:pPr>
        <w:spacing w:line="360" w:lineRule="auto"/>
        <w:rPr>
          <w:rFonts w:ascii="宋体" w:hAnsi="宋体"/>
          <w:color w:val="auto"/>
          <w:sz w:val="24"/>
          <w:highlight w:val="none"/>
        </w:rPr>
      </w:pPr>
      <w:r>
        <w:rPr>
          <w:rFonts w:hint="eastAsia" w:ascii="宋体" w:hAnsi="宋体"/>
          <w:color w:val="auto"/>
          <w:sz w:val="24"/>
          <w:highlight w:val="none"/>
        </w:rPr>
        <w:t xml:space="preserve">（3）发现故障采购人应在20分钟内向服务方发出保障维修通知。</w:t>
      </w:r>
      <w:r/>
    </w:p>
    <w:p>
      <w:pPr>
        <w:spacing w:line="360" w:lineRule="auto"/>
        <w:rPr>
          <w:rFonts w:ascii="宋体" w:hAnsi="宋体"/>
          <w:color w:val="auto"/>
          <w:sz w:val="24"/>
          <w:highlight w:val="none"/>
        </w:rPr>
      </w:pPr>
      <w:r>
        <w:rPr>
          <w:rFonts w:hint="eastAsia" w:ascii="宋体" w:hAnsi="宋体"/>
          <w:color w:val="auto"/>
          <w:sz w:val="24"/>
          <w:highlight w:val="none"/>
        </w:rPr>
        <w:t xml:space="preserve">（4）采购人有义务协调，作好服务方维修人员进入现场维修的准备工作。</w:t>
      </w:r>
      <w:r/>
    </w:p>
    <w:p>
      <w:pPr>
        <w:spacing w:line="360" w:lineRule="auto"/>
        <w:rPr>
          <w:rFonts w:ascii="宋体" w:hAnsi="宋体"/>
          <w:color w:val="auto"/>
          <w:sz w:val="24"/>
          <w:highlight w:val="none"/>
        </w:rPr>
      </w:pPr>
      <w:r>
        <w:rPr>
          <w:rFonts w:hint="eastAsia" w:ascii="宋体" w:hAnsi="宋体"/>
          <w:color w:val="auto"/>
          <w:sz w:val="24"/>
          <w:highlight w:val="none"/>
        </w:rPr>
        <w:t xml:space="preserve">（5）采购人对服务方维护保养工作进行月度考核、季度或年终考核。</w:t>
      </w:r>
      <w:r/>
    </w:p>
    <w:p>
      <w:pPr>
        <w:spacing w:line="360" w:lineRule="auto"/>
        <w:rPr>
          <w:rFonts w:ascii="宋体" w:hAnsi="宋体"/>
          <w:color w:val="auto"/>
          <w:sz w:val="24"/>
          <w:highlight w:val="none"/>
        </w:rPr>
      </w:pPr>
      <w:r>
        <w:rPr>
          <w:rFonts w:hint="eastAsia" w:ascii="宋体" w:hAnsi="宋体"/>
          <w:color w:val="auto"/>
          <w:sz w:val="24"/>
          <w:highlight w:val="none"/>
        </w:rPr>
        <w:t xml:space="preserve">2、服务方责任和义务：</w:t>
      </w:r>
      <w:r/>
    </w:p>
    <w:p>
      <w:pPr>
        <w:spacing w:line="360" w:lineRule="auto"/>
        <w:rPr>
          <w:rFonts w:ascii="宋体" w:hAnsi="宋体"/>
          <w:color w:val="auto"/>
          <w:sz w:val="24"/>
          <w:highlight w:val="none"/>
        </w:rPr>
      </w:pPr>
      <w:r>
        <w:rPr>
          <w:rFonts w:hint="eastAsia" w:ascii="宋体" w:hAnsi="宋体"/>
          <w:color w:val="auto"/>
          <w:sz w:val="24"/>
          <w:highlight w:val="none"/>
        </w:rPr>
        <w:t xml:space="preserve">（1）为确保系统正常运行，服务方必须配备检修、保养工作所必须的交通工具、检测设备、仪器仪表以及用于系统维修所需的备品备件、周转设备，配备维保队伍（见服务方投标文件中的承诺）。</w:t>
      </w:r>
      <w:r/>
    </w:p>
    <w:p>
      <w:pPr>
        <w:spacing w:line="360" w:lineRule="auto"/>
        <w:rPr>
          <w:rFonts w:ascii="宋体" w:hAnsi="宋体"/>
          <w:b/>
          <w:color w:val="auto"/>
          <w:sz w:val="24"/>
          <w:highlight w:val="none"/>
        </w:rPr>
      </w:pPr>
      <w:r>
        <w:rPr>
          <w:rFonts w:hint="eastAsia" w:ascii="宋体" w:hAnsi="宋体"/>
          <w:color w:val="auto"/>
          <w:sz w:val="24"/>
          <w:highlight w:val="none"/>
        </w:rPr>
        <w:t xml:space="preserve">（2）对系统所需的非质保期范围内的配件，如需更换由服务方提出申请，经采购人审核同意后予以更换，</w:t>
      </w:r>
      <w:r>
        <w:rPr>
          <w:rFonts w:hint="eastAsia" w:ascii="宋体" w:hAnsi="宋体"/>
          <w:b/>
          <w:color w:val="auto"/>
          <w:sz w:val="24"/>
          <w:highlight w:val="none"/>
        </w:rPr>
        <w:t xml:space="preserve">服务方支付换件费用不超过合同金额的15%，超出合同费用15%的换件费用由采购人向财政另行提出申请。</w:t>
      </w:r>
      <w:r/>
    </w:p>
    <w:p>
      <w:pPr>
        <w:spacing w:line="360" w:lineRule="auto"/>
        <w:rPr>
          <w:rFonts w:ascii="宋体" w:hAnsi="宋体"/>
          <w:color w:val="auto"/>
          <w:sz w:val="24"/>
          <w:highlight w:val="none"/>
        </w:rPr>
      </w:pPr>
      <w:r>
        <w:rPr>
          <w:rFonts w:hint="eastAsia" w:ascii="宋体" w:hAnsi="宋体"/>
          <w:color w:val="auto"/>
          <w:sz w:val="24"/>
          <w:highlight w:val="none"/>
        </w:rPr>
        <w:t xml:space="preserve">（3）服务方须拟定具体的维修保养方案，</w:t>
      </w:r>
      <w:r>
        <w:rPr>
          <w:rFonts w:hint="eastAsia" w:ascii="宋体" w:hAnsi="宋体"/>
          <w:b/>
          <w:color w:val="auto"/>
          <w:sz w:val="24"/>
          <w:highlight w:val="none"/>
        </w:rPr>
        <w:t xml:space="preserve">采购包1配备至少4名</w:t>
      </w:r>
      <w:r>
        <w:rPr>
          <w:rFonts w:hint="eastAsia" w:ascii="宋体" w:hAnsi="宋体"/>
          <w:color w:val="auto"/>
          <w:sz w:val="24"/>
          <w:highlight w:val="none"/>
        </w:rPr>
        <w:t xml:space="preserve">专业技术人员，</w:t>
      </w:r>
      <w:r>
        <w:rPr>
          <w:rFonts w:hint="eastAsia" w:ascii="宋体" w:hAnsi="宋体"/>
          <w:b/>
          <w:color w:val="auto"/>
          <w:sz w:val="24"/>
          <w:highlight w:val="none"/>
        </w:rPr>
        <w:t xml:space="preserve">采购包2配备至少2名</w:t>
      </w:r>
      <w:r>
        <w:rPr>
          <w:rFonts w:hint="eastAsia" w:ascii="宋体" w:hAnsi="宋体"/>
          <w:color w:val="auto"/>
          <w:sz w:val="24"/>
          <w:highlight w:val="none"/>
        </w:rPr>
        <w:t xml:space="preserve">专业技术人员，每周现场检查维护不少于两次，提供7×7×24服务，并将相关人员的通讯方式告知采购人。维保人员维修保养时应当认真如实填写维修保养记录。维保人员必须驻场，工作日内必须保证维保人员全部在岗在位，须提供签到设备或打卡机，坚持上下班考勤打卡制度，采购人定期进行考核。</w:t>
      </w:r>
      <w:r/>
    </w:p>
    <w:p>
      <w:pPr>
        <w:spacing w:line="360" w:lineRule="auto"/>
        <w:rPr>
          <w:rFonts w:ascii="宋体" w:hAnsi="宋体"/>
          <w:color w:val="auto"/>
          <w:sz w:val="24"/>
          <w:highlight w:val="none"/>
        </w:rPr>
      </w:pPr>
      <w:r>
        <w:rPr>
          <w:rFonts w:hint="eastAsia" w:ascii="宋体" w:hAnsi="宋体"/>
          <w:color w:val="auto"/>
          <w:sz w:val="24"/>
          <w:highlight w:val="none"/>
        </w:rPr>
        <w:t xml:space="preserve">（4）设备发生故障，服务方接收到故障信息或接到采购人通知30分钟内派人到达现场，24小时内检修解除故障，并采取有效的应急措施，防止出现安全事故。</w:t>
      </w:r>
      <w:r/>
    </w:p>
    <w:p>
      <w:pPr>
        <w:spacing w:line="360" w:lineRule="auto"/>
        <w:rPr>
          <w:rFonts w:ascii="宋体" w:hAnsi="宋体"/>
          <w:color w:val="auto"/>
          <w:sz w:val="24"/>
          <w:highlight w:val="none"/>
        </w:rPr>
      </w:pPr>
      <w:r>
        <w:rPr>
          <w:rFonts w:hint="eastAsia" w:ascii="宋体" w:hAnsi="宋体"/>
          <w:color w:val="auto"/>
          <w:sz w:val="24"/>
          <w:highlight w:val="none"/>
        </w:rPr>
        <w:t xml:space="preserve">（5）服务方应认真执行维保方案。两次不按时到达现场处理故障，视为违约，每次承担1000元违约金，且由此造成的损失由服务方负责。造成重大影响的，采购人有权提前终止合同。</w:t>
      </w:r>
      <w:r/>
    </w:p>
    <w:p>
      <w:pPr>
        <w:spacing w:line="360" w:lineRule="auto"/>
        <w:rPr>
          <w:rFonts w:ascii="宋体" w:hAnsi="宋体"/>
          <w:color w:val="auto"/>
          <w:sz w:val="28"/>
          <w:szCs w:val="28"/>
          <w:highlight w:val="none"/>
        </w:rPr>
      </w:pPr>
      <w:r>
        <w:rPr>
          <w:rFonts w:hint="eastAsia" w:ascii="宋体" w:hAnsi="宋体"/>
          <w:color w:val="auto"/>
          <w:sz w:val="24"/>
          <w:highlight w:val="none"/>
        </w:rPr>
        <w:t xml:space="preserve">（6）服务方及其工作人员应保守在为采购人服务期间所获得的技术秘密、商业秘密及其他保密要求。</w:t>
      </w:r>
      <w:r/>
    </w:p>
    <w:p>
      <w:pPr>
        <w:pStyle w:val="897"/>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六、其他要求</w:t>
      </w:r>
      <w:r/>
    </w:p>
    <w:p>
      <w:pPr>
        <w:pStyle w:val="897"/>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1、低于成本报价：</w:t>
      </w:r>
      <w:r/>
    </w:p>
    <w:p>
      <w:pPr>
        <w:pStyle w:val="897"/>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在磋商过程中，磋商小组发现供应商的报价明显低于其他报价，使得其报价可能低于成本的，应当要求该供应商作出书面说明并提供相关证明材料。供应商不能合理说明或者不能提供相关证明材料的，由磋商小组认定该供应商以低于成本报价，其响应文件应作无效响应文件处理。 </w:t>
      </w:r>
      <w:r/>
    </w:p>
    <w:p>
      <w:pPr>
        <w:pStyle w:val="897"/>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97"/>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2、其他要求：见《磋商文件》附件：6、《拟签订的合同文本》。</w:t>
      </w:r>
      <w:r/>
    </w:p>
    <w:p>
      <w:pPr>
        <w:ind w:firstLine="2692"/>
        <w:pageBreakBefore/>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JSZC-320300-JTGS-C2025-0093</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项目标段：采购包</w:t>
      </w:r>
      <w:r>
        <w:rPr>
          <w:rFonts w:hint="eastAsia" w:ascii="宋体" w:hAnsi="宋体" w:cs="宋体"/>
          <w:color w:val="auto"/>
          <w:sz w:val="24"/>
          <w:highlight w:val="none"/>
          <w:u w:val="single"/>
        </w:rPr>
        <w:t xml:space="preserve">         </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71"/>
        <w:tblW w:w="4997"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23"/>
        <w:gridCol w:w="1799"/>
        <w:gridCol w:w="1702"/>
        <w:gridCol w:w="1699"/>
      </w:tblGrid>
      <w:tr>
        <w:trPr>
          <w:cantSplit/>
          <w:jc w:val="center"/>
          <w:trHeight w:val="731"/>
        </w:trPr>
        <w:tc>
          <w:tcPr>
            <w:tcW w:w="1949"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1055"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998"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c>
          <w:tcPr>
            <w:tcW w:w="996"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cantSplit/>
          <w:jc w:val="center"/>
          <w:trHeight w:val="820"/>
        </w:trPr>
        <w:tc>
          <w:tcPr>
            <w:tcW w:w="1949" w:type="pct"/>
            <w:vAlign w:val="center"/>
            <w:textDirection w:val="lrTb"/>
            <w:noWrap w:val="false"/>
          </w:tcPr>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行政中心及档案馆、数据局视频监控系统维保服务</w:t>
            </w:r>
            <w:r/>
          </w:p>
        </w:tc>
        <w:tc>
          <w:tcPr>
            <w:tcW w:w="1055" w:type="pct"/>
            <w:vAlign w:val="center"/>
            <w:textDirection w:val="lrTb"/>
            <w:noWrap w:val="false"/>
          </w:tcPr>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bCs/>
                <w:color w:val="auto"/>
                <w:sz w:val="24"/>
                <w:highlight w:val="none"/>
              </w:rPr>
              <w:t xml:space="preserve">响应文件</w:t>
            </w:r>
            <w:r/>
          </w:p>
        </w:tc>
        <w:tc>
          <w:tcPr>
            <w:tcW w:w="998" w:type="pct"/>
            <w:vAlign w:val="center"/>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c>
          <w:tcPr>
            <w:tcW w:w="996" w:type="pct"/>
            <w:vAlign w:val="center"/>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95"/>
        </w:trPr>
        <w:tc>
          <w:tcPr>
            <w:tcW w:w="1949" w:type="pct"/>
            <w:vAlign w:val="center"/>
            <w:textDirection w:val="lrTb"/>
            <w:noWrap w:val="false"/>
          </w:tcPr>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2053" w:type="pct"/>
            <w:vAlign w:val="center"/>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c>
          <w:tcPr>
            <w:tcW w:w="996" w:type="pct"/>
            <w:vAlign w:val="center"/>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供应商承诺：本报价（总价）为供应商本企业提供的服务。</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pStyle w:val="897"/>
        <w:rPr>
          <w:color w:val="auto"/>
          <w:highlight w:val="none"/>
        </w:rPr>
      </w:pPr>
      <w:r>
        <w:rPr>
          <w:color w:val="auto"/>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969"/>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格式自制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87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6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67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96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67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ascii="宋体" w:hAnsi="宋体" w:cs="宋体"/>
          <w:b/>
          <w:color w:val="auto"/>
          <w:sz w:val="36"/>
          <w:highlight w:val="none"/>
        </w:rPr>
      </w:pPr>
      <w:r>
        <w:rPr>
          <w:rFonts w:hint="eastAsia" w:ascii="宋体" w:hAnsi="宋体" w:cs="宋体"/>
          <w:b/>
          <w:color w:val="auto"/>
          <w:sz w:val="36"/>
          <w:highlight w:val="none"/>
        </w:rPr>
        <w:t xml:space="preserve">6、拟签订合同文本</w:t>
      </w:r>
      <w:r/>
    </w:p>
    <w:p>
      <w:pPr>
        <w:rPr>
          <w:rFonts w:ascii="宋体" w:hAnsi="宋体" w:cs="宋体"/>
          <w:b/>
          <w:color w:val="auto"/>
          <w:sz w:val="52"/>
          <w:szCs w:val="36"/>
          <w:highlight w:val="none"/>
          <w:lang w:bidi="ar"/>
        </w:rPr>
      </w:pPr>
      <w:r>
        <w:rPr>
          <w:rFonts w:ascii="宋体" w:hAnsi="宋体" w:cs="宋体"/>
          <w:b/>
          <w:color w:val="auto"/>
          <w:sz w:val="52"/>
          <w:szCs w:val="36"/>
          <w:highlight w:val="none"/>
          <w:lang w:bidi="ar"/>
        </w:rPr>
      </w:r>
      <w:r/>
    </w:p>
    <w:p>
      <w:pPr>
        <w:jc w:val="center"/>
        <w:rPr>
          <w:rFonts w:ascii="宋体" w:hAnsi="宋体" w:cs="宋体"/>
          <w:b/>
          <w:color w:val="auto"/>
          <w:sz w:val="72"/>
          <w:szCs w:val="72"/>
          <w:highlight w:val="none"/>
          <w:lang w:bidi="ar"/>
        </w:rPr>
      </w:pPr>
      <w:r>
        <w:rPr>
          <w:rFonts w:ascii="宋体" w:hAnsi="宋体" w:cs="宋体"/>
          <w:b/>
          <w:color w:val="auto"/>
          <w:sz w:val="72"/>
          <w:szCs w:val="72"/>
          <w:highlight w:val="none"/>
          <w:lang w:bidi="ar"/>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 xml:space="preserve">政 府 采 购 合 同</w:t>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 xml:space="preserve">项目编号：</w:t>
      </w:r>
      <w:r>
        <w:rPr>
          <w:rFonts w:hint="eastAsia" w:ascii="宋体" w:hAnsi="宋体" w:cs="宋体"/>
          <w:bCs/>
          <w:color w:val="auto"/>
          <w:sz w:val="32"/>
          <w:szCs w:val="32"/>
          <w:highlight w:val="none"/>
          <w:lang w:eastAsia="zh-CN" w:bidi="ar"/>
        </w:rPr>
        <w:t xml:space="preserve">JSZC-320300-JTGS-C2025-0093</w:t>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 xml:space="preserve">项目名称：</w:t>
      </w:r>
      <w:r>
        <w:rPr>
          <w:rFonts w:hint="eastAsia" w:ascii="宋体" w:hAnsi="宋体" w:cs="宋体"/>
          <w:color w:val="auto"/>
          <w:sz w:val="30"/>
          <w:szCs w:val="30"/>
          <w:highlight w:val="none"/>
          <w:lang w:eastAsia="zh-CN"/>
        </w:rPr>
        <w:t xml:space="preserve">行政中心及档案馆、数据局视频监控系统维保服务</w:t>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采购单位（甲方）：</w:t>
      </w:r>
      <w:r>
        <w:rPr>
          <w:rFonts w:ascii="Arial" w:hAnsi="Arial"/>
          <w:color w:val="auto"/>
          <w:sz w:val="30"/>
          <w:szCs w:val="30"/>
          <w:highlight w:val="none"/>
        </w:rPr>
        <w:t xml:space="preserve">徐州市机关事务管理局</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中标供应商（乙方）：</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签订日期：    年  月  日</w:t>
      </w:r>
      <w:r/>
    </w:p>
    <w:p>
      <w:pPr>
        <w:rPr>
          <w:rFonts w:ascii="宋体" w:hAnsi="宋体" w:cs="宋体"/>
          <w:b/>
          <w:bCs/>
          <w:color w:val="auto"/>
          <w:sz w:val="24"/>
          <w:highlight w:val="none"/>
        </w:rPr>
      </w:pPr>
      <w:r>
        <w:rPr>
          <w:rFonts w:ascii="宋体" w:hAnsi="宋体" w:cs="宋体"/>
          <w:b/>
          <w:bCs/>
          <w:color w:val="auto"/>
          <w:sz w:val="24"/>
          <w:highlight w:val="none"/>
        </w:rPr>
      </w:r>
      <w:r/>
    </w:p>
    <w:p>
      <w:pPr>
        <w:ind w:right="1440"/>
        <w:spacing w:after="120"/>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hint="eastAsia" w:ascii="宋体" w:hAnsi="宋体" w:cs="宋体"/>
          <w:b/>
          <w:color w:val="auto"/>
          <w:sz w:val="24"/>
          <w:highlight w:val="none"/>
          <w:lang w:bidi="ar"/>
        </w:rPr>
        <w:t xml:space="preserve">友情提醒：采购人与中标、成交供应商应当在中标、成交通知书发出之日起三十日内，按照采购文件确定的事项签订政府采购合同。</w:t>
      </w:r>
      <w:r/>
    </w:p>
    <w:p>
      <w:pPr>
        <w:rPr>
          <w:rFonts w:ascii="宋体" w:hAnsi="宋体" w:cs="宋体"/>
          <w:b/>
          <w:color w:val="auto"/>
          <w:sz w:val="24"/>
          <w:highlight w:val="none"/>
          <w:lang w:bidi="ar"/>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lang w:bidi="ar"/>
        </w:rPr>
        <w:t xml:space="preserve">采购人应当自政府采购合同签订之日起2个工作日内，将政府采购合同在省级以上人民政府财政部门指定的媒体上公告，但政府采购合同中涉及国家秘密、商业秘密的内容除外。</w:t>
      </w:r>
      <w:r/>
    </w:p>
    <w:p>
      <w:pPr>
        <w:ind w:right="1440"/>
        <w:spacing w:after="120" w:line="360" w:lineRule="auto"/>
        <w:rPr>
          <w:rFonts w:ascii="宋体" w:hAnsi="宋体" w:cs="宋体"/>
          <w:bCs/>
          <w:color w:val="auto"/>
          <w:sz w:val="24"/>
          <w:highlight w:val="none"/>
        </w:rPr>
      </w:pPr>
      <w:r>
        <w:rPr>
          <w:rFonts w:ascii="宋体" w:hAnsi="宋体" w:cs="宋体"/>
          <w:bCs/>
          <w:color w:val="auto"/>
          <w:sz w:val="24"/>
          <w:highlight w:val="none"/>
        </w:rPr>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甲方：徐州市机关事务管理局</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为保证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稳定、安全运行，甲乙双方本着互惠互利的原则，经认真协商后，就乙方为甲方提供监控系统设备的系统维护、保养、巡检、调试、升级等服务，达成以下合同条款：</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一、维保范围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乙方为甲方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及其相关所有硬件、软件提供定期保养、故障排除等检修、维护保养服务。</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二、合同执行期限和地点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1、维保起始日期： </w:t>
      </w:r>
      <w:r>
        <w:rPr>
          <w:rFonts w:hint="eastAsia" w:ascii="宋体" w:hAnsi="宋体"/>
          <w:color w:val="auto"/>
          <w:sz w:val="24"/>
          <w:highlight w:val="none"/>
          <w:u w:val="single"/>
        </w:rPr>
        <w:t xml:space="preserve">2026 年 1 月 1 日—2026年 12月 31 日</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三、合同价及结算方式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1、合同价（总价）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）。本合同总价包含维保范围内设备日常损坏更换所需费用及日常维保服务费用。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2、乙方须设置专项维修资金，用于日常设备损坏配件更换，甲方不再另行支付日常维修配件费用（特殊情况毁损除外）。专项维修资金为中标维保费用的15%（以实际中标价为准）。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专项维修资金的使用：系统中设备、软件及所有损坏的零部件，由乙方免费负责维修、更换。产生费用的零部件更换，需填写维修保修单据，注明损坏原因、所需费用等内容，经甲方审核同意后方可更换，并计入合同年度专项维修资金总额内（实际成交价*15%）。未经甲方同意，私自维修更换的费用不予计算专项维修资金份额。</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w:t>
      </w:r>
      <w:bookmarkStart w:id="0" w:name="_Toc28359079"/>
      <w:r>
        <w:rPr>
          <w:rFonts w:hint="eastAsia" w:ascii="宋体" w:hAnsi="宋体"/>
          <w:color w:val="auto"/>
          <w:sz w:val="24"/>
          <w:highlight w:val="none"/>
        </w:rPr>
        <w:t xml:space="preserve">合同履行期限：1年</w:t>
      </w:r>
      <w:bookmarkEnd w:id="0"/>
      <w:r>
        <w:rPr>
          <w:rFonts w:hint="eastAsia" w:ascii="宋体" w:hAnsi="宋体"/>
          <w:color w:val="auto"/>
          <w:sz w:val="24"/>
          <w:highlight w:val="none"/>
        </w:rPr>
        <w:t xml:space="preserve">（即2026年1月1日起至2026年12月31日止）。</w:t>
      </w:r>
      <w:r>
        <w:rPr>
          <w:rFonts w:hint="eastAsia" w:ascii="宋体" w:hAnsi="宋体"/>
          <w:b/>
          <w:color w:val="auto"/>
          <w:sz w:val="24"/>
          <w:highlight w:val="none"/>
        </w:rPr>
        <w:t xml:space="preserve">每季度末甲方对乙方合同履行情况进行一次汇总考核，合格后方可继续履行下季度维保服务合同。</w:t>
      </w:r>
      <w:r/>
    </w:p>
    <w:p>
      <w:pPr>
        <w:spacing w:line="360" w:lineRule="auto"/>
        <w:rPr>
          <w:rFonts w:ascii="宋体" w:hAnsi="宋体"/>
          <w:b/>
          <w:bCs/>
          <w:color w:val="auto"/>
          <w:sz w:val="24"/>
          <w:highlight w:val="none"/>
        </w:rPr>
      </w:pPr>
      <w:r>
        <w:rPr>
          <w:rFonts w:hint="eastAsia" w:ascii="宋体" w:hAnsi="宋体" w:cs="宋体"/>
          <w:bCs/>
          <w:color w:val="auto"/>
          <w:sz w:val="24"/>
          <w:highlight w:val="none"/>
        </w:rPr>
        <w:t xml:space="preserve">4、结算方式：</w:t>
      </w:r>
      <w:r>
        <w:rPr>
          <w:rFonts w:hint="eastAsia" w:ascii="宋体" w:hAnsi="宋体"/>
          <w:color w:val="auto"/>
          <w:sz w:val="24"/>
          <w:highlight w:val="none"/>
        </w:rPr>
        <w:t xml:space="preserve">经双方协商一致，选择以下第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种付款方式：</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付款方式一：提交预付款保函的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合同价款的百分之三十(30%)即￥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元整，在双方签订合同后15个工作日内付合同价款的30%，乙方向甲方出具等额预付款保函后，办理政府采购资金结算手续支付给乙方。</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合同总价的百分之七十(70%)即￥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元整，余款按</w:t>
      </w:r>
      <w:r>
        <w:rPr>
          <w:rFonts w:hint="eastAsia" w:ascii="宋体" w:hAnsi="宋体"/>
          <w:color w:val="auto"/>
          <w:sz w:val="24"/>
          <w:highlight w:val="none"/>
          <w:lang w:val="en-US" w:eastAsia="zh-CN"/>
        </w:rPr>
        <w:t xml:space="preserve">季度</w:t>
      </w:r>
      <w:r>
        <w:rPr>
          <w:rFonts w:hint="eastAsia" w:ascii="宋体" w:hAnsi="宋体"/>
          <w:color w:val="auto"/>
          <w:sz w:val="24"/>
          <w:highlight w:val="none"/>
        </w:rPr>
        <w:t xml:space="preserve">支付，</w:t>
      </w:r>
      <w:r>
        <w:rPr>
          <w:rFonts w:hint="eastAsia" w:ascii="宋体" w:hAnsi="宋体" w:eastAsia="宋体" w:cs="宋体"/>
          <w:color w:val="auto"/>
          <w:sz w:val="24"/>
          <w:szCs w:val="24"/>
          <w:highlight w:val="none"/>
          <w:lang w:val="en-US" w:eastAsia="zh-CN" w:bidi="ar-SA"/>
        </w:rPr>
        <w:t xml:space="preserve">甲方应根据考核结果向乙方</w:t>
      </w:r>
      <w:r>
        <w:rPr>
          <w:rFonts w:hint="eastAsia" w:ascii="宋体" w:hAnsi="宋体"/>
          <w:color w:val="auto"/>
          <w:sz w:val="24"/>
          <w:highlight w:val="none"/>
        </w:rPr>
        <w:t xml:space="preserve">每个</w:t>
      </w:r>
      <w:r>
        <w:rPr>
          <w:rFonts w:hint="eastAsia" w:ascii="宋体" w:hAnsi="宋体"/>
          <w:color w:val="auto"/>
          <w:sz w:val="24"/>
          <w:highlight w:val="none"/>
          <w:lang w:val="en-US" w:eastAsia="zh-CN"/>
        </w:rPr>
        <w:t xml:space="preserve">季度</w:t>
      </w:r>
      <w:r>
        <w:rPr>
          <w:rFonts w:hint="eastAsia" w:ascii="宋体" w:hAnsi="宋体"/>
          <w:color w:val="auto"/>
          <w:sz w:val="24"/>
          <w:highlight w:val="none"/>
        </w:rPr>
        <w:t xml:space="preserve">支付</w:t>
      </w:r>
      <w:r>
        <w:rPr>
          <w:rFonts w:hint="eastAsia" w:ascii="宋体" w:hAnsi="宋体"/>
          <w:color w:val="auto"/>
          <w:sz w:val="24"/>
          <w:highlight w:val="none"/>
          <w:lang w:val="en-US" w:eastAsia="zh-CN"/>
        </w:rPr>
        <w:t xml:space="preserve">合同价款</w:t>
      </w:r>
      <w:r>
        <w:rPr>
          <w:rFonts w:hint="eastAsia" w:ascii="宋体" w:hAnsi="宋体"/>
          <w:color w:val="auto"/>
          <w:sz w:val="24"/>
          <w:highlight w:val="none"/>
        </w:rPr>
        <w:t xml:space="preserve">的25%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除预付款及考核结果</w:t>
      </w:r>
      <w:r>
        <w:rPr>
          <w:rFonts w:hint="eastAsia" w:ascii="宋体" w:hAnsi="宋体"/>
          <w:color w:val="auto"/>
          <w:sz w:val="24"/>
          <w:highlight w:val="none"/>
          <w:lang w:eastAsia="zh-CN"/>
        </w:rPr>
        <w:t xml:space="preserve">），在乙方完成</w:t>
      </w:r>
      <w:r>
        <w:rPr>
          <w:rFonts w:hint="eastAsia" w:ascii="宋体" w:hAnsi="宋体"/>
          <w:color w:val="auto"/>
          <w:sz w:val="24"/>
          <w:highlight w:val="none"/>
          <w:lang w:val="en-US" w:eastAsia="zh-CN"/>
        </w:rPr>
        <w:t xml:space="preserve">每季度</w:t>
      </w:r>
      <w:r>
        <w:rPr>
          <w:rFonts w:hint="eastAsia" w:ascii="宋体" w:hAnsi="宋体"/>
          <w:color w:val="auto"/>
          <w:sz w:val="24"/>
          <w:highlight w:val="none"/>
          <w:lang w:eastAsia="zh-CN"/>
        </w:rPr>
        <w:t xml:space="preserve">合同全部工作内容并提供对应金额的发票后1</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个工作日内，由甲方办理政府采购资金结算手续，经审核后支付给乙方。</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在签订合同时，如乙方明确表示无需预付款的，甲方可凭考核结果按</w:t>
      </w:r>
      <w:r>
        <w:rPr>
          <w:rFonts w:hint="eastAsia" w:ascii="宋体" w:hAnsi="宋体"/>
          <w:color w:val="auto"/>
          <w:sz w:val="24"/>
          <w:highlight w:val="none"/>
          <w:lang w:val="en-US" w:eastAsia="zh-CN"/>
        </w:rPr>
        <w:t xml:space="preserve">季度</w:t>
      </w:r>
      <w:r>
        <w:rPr>
          <w:rFonts w:hint="eastAsia" w:ascii="宋体" w:hAnsi="宋体"/>
          <w:color w:val="auto"/>
          <w:sz w:val="24"/>
          <w:highlight w:val="none"/>
          <w:lang w:eastAsia="zh-CN"/>
        </w:rPr>
        <w:t xml:space="preserve">支付。（注: 此条符合苏财购 (2020) 52 号文件要求）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乙方需提交的支付文件包括：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乙方出具的全额正式发票；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每季度实际支付金额＝ (合同价-预付款)/4</w:t>
      </w:r>
      <w:r/>
    </w:p>
    <w:p>
      <w:pPr>
        <w:ind w:firstLine="480"/>
        <w:spacing w:line="360" w:lineRule="auto"/>
        <w:rPr>
          <w:rFonts w:ascii="宋体" w:hAnsi="宋体"/>
          <w:b/>
          <w:bCs/>
          <w:color w:val="auto"/>
          <w:highlight w:val="none"/>
        </w:rPr>
      </w:pPr>
      <w:r>
        <w:rPr>
          <w:rFonts w:hint="eastAsia" w:ascii="宋体" w:hAnsi="宋体"/>
          <w:b/>
          <w:bCs/>
          <w:color w:val="auto"/>
          <w:highlight w:val="none"/>
        </w:rPr>
        <w:t xml:space="preserve">付款方式二：不提交预付款保函的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合同价款的百分之</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十(</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0%)即￥</w:t>
      </w:r>
      <w:r>
        <w:rPr>
          <w:rFonts w:hint="eastAsia" w:ascii="宋体" w:hAnsi="宋体"/>
          <w:color w:val="auto"/>
          <w:highlight w:val="none"/>
          <w:u w:val="single"/>
        </w:rPr>
        <w:t xml:space="preserve">          </w:t>
      </w:r>
      <w:r>
        <w:rPr>
          <w:rFonts w:hint="eastAsia" w:ascii="宋体" w:hAnsi="宋体"/>
          <w:color w:val="auto"/>
          <w:sz w:val="24"/>
          <w:highlight w:val="none"/>
        </w:rPr>
        <w:t xml:space="preserve">，大写：人民币</w:t>
      </w:r>
      <w:r>
        <w:rPr>
          <w:rFonts w:hint="eastAsia" w:ascii="宋体" w:hAnsi="宋体"/>
          <w:color w:val="auto"/>
          <w:highlight w:val="none"/>
          <w:u w:val="single"/>
        </w:rPr>
        <w:t xml:space="preserve">          </w:t>
      </w:r>
      <w:r>
        <w:rPr>
          <w:rFonts w:hint="eastAsia" w:ascii="宋体" w:hAnsi="宋体"/>
          <w:color w:val="auto"/>
          <w:sz w:val="24"/>
          <w:highlight w:val="none"/>
        </w:rPr>
        <w:t xml:space="preserve">元整，在双方签订合同后15个工作日内付预付款的</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0%，办理政府采购资金结算手续支付给乙方。</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合同总价的百分之</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十(</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元整，余款按</w:t>
      </w:r>
      <w:r>
        <w:rPr>
          <w:rFonts w:hint="eastAsia" w:ascii="宋体" w:hAnsi="宋体"/>
          <w:color w:val="auto"/>
          <w:sz w:val="24"/>
          <w:highlight w:val="none"/>
          <w:lang w:val="en-US" w:eastAsia="zh-CN"/>
        </w:rPr>
        <w:t xml:space="preserve">季度</w:t>
      </w:r>
      <w:r>
        <w:rPr>
          <w:rFonts w:hint="eastAsia" w:ascii="宋体" w:hAnsi="宋体"/>
          <w:color w:val="auto"/>
          <w:sz w:val="24"/>
          <w:highlight w:val="none"/>
        </w:rPr>
        <w:t xml:space="preserve">支付，</w:t>
      </w:r>
      <w:r>
        <w:rPr>
          <w:rFonts w:hint="eastAsia" w:ascii="宋体" w:hAnsi="宋体" w:eastAsia="宋体" w:cs="宋体"/>
          <w:color w:val="auto"/>
          <w:sz w:val="24"/>
          <w:szCs w:val="24"/>
          <w:highlight w:val="none"/>
          <w:lang w:val="en-US" w:eastAsia="zh-CN" w:bidi="ar-SA"/>
        </w:rPr>
        <w:t xml:space="preserve">甲方应根据考核结果向乙方</w:t>
      </w:r>
      <w:r>
        <w:rPr>
          <w:rFonts w:hint="eastAsia" w:ascii="宋体" w:hAnsi="宋体"/>
          <w:color w:val="auto"/>
          <w:sz w:val="24"/>
          <w:highlight w:val="none"/>
        </w:rPr>
        <w:t xml:space="preserve">每个</w:t>
      </w:r>
      <w:r>
        <w:rPr>
          <w:rFonts w:hint="eastAsia" w:ascii="宋体" w:hAnsi="宋体"/>
          <w:color w:val="auto"/>
          <w:sz w:val="24"/>
          <w:highlight w:val="none"/>
          <w:lang w:val="en-US" w:eastAsia="zh-CN"/>
        </w:rPr>
        <w:t xml:space="preserve">季度</w:t>
      </w:r>
      <w:r>
        <w:rPr>
          <w:rFonts w:hint="eastAsia" w:ascii="宋体" w:hAnsi="宋体"/>
          <w:color w:val="auto"/>
          <w:sz w:val="24"/>
          <w:highlight w:val="none"/>
        </w:rPr>
        <w:t xml:space="preserve">支付</w:t>
      </w:r>
      <w:r>
        <w:rPr>
          <w:rFonts w:hint="eastAsia" w:ascii="宋体" w:hAnsi="宋体"/>
          <w:color w:val="auto"/>
          <w:sz w:val="24"/>
          <w:highlight w:val="none"/>
          <w:lang w:val="en-US" w:eastAsia="zh-CN"/>
        </w:rPr>
        <w:t xml:space="preserve">合同价款</w:t>
      </w:r>
      <w:r>
        <w:rPr>
          <w:rFonts w:hint="eastAsia" w:ascii="宋体" w:hAnsi="宋体"/>
          <w:color w:val="auto"/>
          <w:sz w:val="24"/>
          <w:highlight w:val="none"/>
        </w:rPr>
        <w:t xml:space="preserve">的25%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除预付款及考核结果</w:t>
      </w:r>
      <w:r>
        <w:rPr>
          <w:rFonts w:hint="eastAsia" w:ascii="宋体" w:hAnsi="宋体"/>
          <w:color w:val="auto"/>
          <w:sz w:val="24"/>
          <w:highlight w:val="none"/>
          <w:lang w:eastAsia="zh-CN"/>
        </w:rPr>
        <w:t xml:space="preserve">），在乙方完成</w:t>
      </w:r>
      <w:r>
        <w:rPr>
          <w:rFonts w:hint="eastAsia" w:ascii="宋体" w:hAnsi="宋体"/>
          <w:color w:val="auto"/>
          <w:sz w:val="24"/>
          <w:highlight w:val="none"/>
          <w:lang w:val="en-US" w:eastAsia="zh-CN"/>
        </w:rPr>
        <w:t xml:space="preserve">每季度</w:t>
      </w:r>
      <w:r>
        <w:rPr>
          <w:rFonts w:hint="eastAsia" w:ascii="宋体" w:hAnsi="宋体"/>
          <w:color w:val="auto"/>
          <w:sz w:val="24"/>
          <w:highlight w:val="none"/>
          <w:lang w:eastAsia="zh-CN"/>
        </w:rPr>
        <w:t xml:space="preserve">合同全部工作内容并提供对应金额的发票后1</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个工作日内，由甲方办理政府采购资金结算手续，经审核后支付给乙方。</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在签订合同时，如乙方明确表示无需预付款的，甲方可凭考核结果按</w:t>
      </w:r>
      <w:r>
        <w:rPr>
          <w:rFonts w:hint="eastAsia" w:ascii="宋体" w:hAnsi="宋体"/>
          <w:color w:val="auto"/>
          <w:sz w:val="24"/>
          <w:highlight w:val="none"/>
          <w:lang w:val="en-US" w:eastAsia="zh-CN"/>
        </w:rPr>
        <w:t xml:space="preserve">季度</w:t>
      </w:r>
      <w:r>
        <w:rPr>
          <w:rFonts w:hint="eastAsia" w:ascii="宋体" w:hAnsi="宋体"/>
          <w:color w:val="auto"/>
          <w:sz w:val="24"/>
          <w:highlight w:val="none"/>
          <w:lang w:eastAsia="zh-CN"/>
        </w:rPr>
        <w:t xml:space="preserve">支付。（注: 此条符合苏财购 (2020) 52 号文件要求）</w:t>
      </w:r>
      <w:r/>
    </w:p>
    <w:p>
      <w:pPr>
        <w:ind w:firstLine="480"/>
        <w:spacing w:line="360" w:lineRule="auto"/>
        <w:rPr>
          <w:rFonts w:ascii="宋体" w:hAnsi="宋体"/>
          <w:color w:val="auto"/>
          <w:highlight w:val="none"/>
        </w:rPr>
      </w:pPr>
      <w:r>
        <w:rPr>
          <w:rFonts w:hint="eastAsia" w:ascii="宋体" w:hAnsi="宋体"/>
          <w:color w:val="auto"/>
          <w:highlight w:val="none"/>
        </w:rPr>
        <w:t xml:space="preserve">乙方需提交的支付文件包括：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乙方出具的全额正式发票。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每季度实际支付金额＝ (合同价-预付款)/4</w:t>
      </w:r>
      <w:r/>
    </w:p>
    <w:p>
      <w:pPr>
        <w:ind w:firstLine="480"/>
        <w:spacing w:line="360" w:lineRule="auto"/>
        <w:rPr>
          <w:rFonts w:ascii="宋体" w:hAnsi="宋体"/>
          <w:color w:val="auto"/>
          <w:highlight w:val="none"/>
        </w:rPr>
      </w:pPr>
      <w:r>
        <w:rPr>
          <w:rFonts w:hint="eastAsia" w:ascii="宋体" w:hAnsi="宋体"/>
          <w:color w:val="auto"/>
          <w:sz w:val="24"/>
          <w:highlight w:val="none"/>
        </w:rPr>
        <w:t xml:space="preserve">4.2上述费用甲方支付至乙方指定账户内。除乙方另行指</w:t>
      </w:r>
      <w:r>
        <w:rPr>
          <w:rFonts w:hint="eastAsia" w:ascii="宋体" w:hAnsi="宋体"/>
          <w:color w:val="auto"/>
          <w:highlight w:val="none"/>
        </w:rPr>
        <w:t xml:space="preserve">定外该指定账户信息为：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户名：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账号：</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开户行： </w:t>
      </w:r>
      <w:r/>
    </w:p>
    <w:p>
      <w:pPr>
        <w:ind w:right="1440"/>
        <w:spacing w:after="120" w:line="336" w:lineRule="auto"/>
        <w:rPr>
          <w:rFonts w:ascii="宋体" w:hAnsi="宋体" w:cs="宋体"/>
          <w:bCs/>
          <w:color w:val="auto"/>
          <w:sz w:val="24"/>
          <w:highlight w:val="none"/>
        </w:rPr>
      </w:pPr>
      <w:r>
        <w:rPr>
          <w:rFonts w:hint="eastAsia" w:ascii="宋体" w:hAnsi="宋体" w:cs="宋体"/>
          <w:bCs/>
          <w:color w:val="auto"/>
          <w:sz w:val="24"/>
          <w:highlight w:val="none"/>
        </w:rPr>
        <w:t xml:space="preserve">四、甲乙双方的责任和义务</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1、甲方责任和义务：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（1）甲方应按照合同约定向乙方支付维护费用。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（2）甲方应做好对网点监控系统的保护，教育员工按照规范操作、按期检查系统运行情况及资料录入情况。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（3）发现故障甲方应在20分钟内向乙方发出保障维修通知。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（4）甲方有义务协调，作好乙方维修人员进入现场维修的准备工作。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（5）甲方对乙方维护保养工作进行月度考核、季度或年终考核，考核不及格、服务不满意等终止合同的续签。</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2、乙方责任和义务：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（1）为确保系统正常运行，乙方必须配备检修、保养工作所必须的交通工具、检测设备、仪器仪表以及用于系统维修所需的备品备件、周转设备，配备维保队伍（见乙方投标文件中的承诺）。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（2）对系统所需的非质保期范围内的配件，如需更换由乙方提出申请，经甲方审核同意后予以更换，乙方支付换件费用不超过合同金额的10%，超出合同费用10%的换件费用由甲方向财政另行提出申请。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乙方须拟定具体的维修保养方案，配备至少3名专业技术人员，每周现场检查维护不少于两次，提供7×7×24服务，并将相关人员的通讯方式告知甲方。职业人员维修保养时应当认真如实填写维修保养记录。维保人员必须驻场，工作日内必须保证维保人员全部在岗在位，须提供签到设备或打卡机，坚持上下班考勤打卡制度，采购人定期进行考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（4）设备发生故障，乙方接收到故障信息或接到甲方通知30分钟内派人到达现场，24小时内检修解除故障，并采取有效的应急措施，防止出现安全事故。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（5）乙方应认真执行维保方案。两次不按时到达现场处理故障，视为违约，每次承担1000元违约金，且由此造成的损失由乙方负责。造成重大影响的，甲方有权提前终止合同。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（6）乙方及其工作人员应保守在为甲方服务期间所获得的技术秘密、商业秘密及其他保密要求。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（7）维保设备清单见文件。</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1、未经双方协商一致，甲乙双方任何一方均不得提前终止，变更或解除合同，如有违反，应向对方支付违约金贰万元；给对方造成经济损失的，还应追加赔偿。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2、本合同执行期间发生不可抗力事件，致使合同无法履行时，双方均不承担违约责任，并按有关政策法规及时协商处理善后事宜。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六、本合同未尽事宜甲乙双方协商解决，协商不一致时，向甲方所在地人民法院起诉。本合同一式三份，甲方执一份、乙方执一份，政府采购管理部门一份备案。合同经双方签字后生效。</w:t>
      </w:r>
      <w:r/>
    </w:p>
    <w:p>
      <w:pPr>
        <w:ind w:right="1440"/>
        <w:spacing w:after="120" w:line="360" w:lineRule="auto"/>
        <w:rPr>
          <w:rFonts w:ascii="宋体" w:hAnsi="宋体" w:cs="宋体"/>
          <w:bCs/>
          <w:color w:val="auto"/>
          <w:sz w:val="24"/>
          <w:highlight w:val="none"/>
        </w:rPr>
      </w:pPr>
      <w:r>
        <w:rPr>
          <w:rFonts w:ascii="宋体" w:hAnsi="宋体" w:cs="宋体"/>
          <w:bCs/>
          <w:color w:val="auto"/>
          <w:sz w:val="24"/>
          <w:highlight w:val="none"/>
        </w:rPr>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甲方（盖章）：                    </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委托代理人：</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                            </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签定日期：</w:t>
      </w:r>
      <w:r/>
    </w:p>
    <w:p>
      <w:pPr>
        <w:ind w:right="1440"/>
        <w:spacing w:after="120" w:line="360" w:lineRule="auto"/>
        <w:rPr>
          <w:rFonts w:ascii="宋体" w:hAnsi="宋体" w:cs="宋体"/>
          <w:bCs/>
          <w:color w:val="auto"/>
          <w:sz w:val="24"/>
          <w:highlight w:val="none"/>
        </w:rPr>
      </w:pPr>
      <w:r>
        <w:rPr>
          <w:rFonts w:ascii="宋体" w:hAnsi="宋体" w:cs="宋体"/>
          <w:bCs/>
          <w:color w:val="auto"/>
          <w:sz w:val="24"/>
          <w:highlight w:val="none"/>
        </w:rPr>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乙方（盖章）：                          </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委托代理人：</w:t>
      </w:r>
      <w:r/>
    </w:p>
    <w:p>
      <w:pPr>
        <w:ind w:right="1440"/>
        <w:spacing w:after="120"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签定日期：</w:t>
      </w:r>
      <w:r/>
    </w:p>
    <w:p>
      <w:pPr>
        <w:spacing w:line="360" w:lineRule="auto"/>
        <w:rPr>
          <w:rFonts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合同附件</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目  录</w:t>
      </w:r>
      <w:r/>
    </w:p>
    <w:p>
      <w:pPr>
        <w:jc w:val="cente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4"/>
          <w:highlight w:val="none"/>
        </w:rPr>
      </w:pPr>
      <w:r>
        <w:rPr>
          <w:rFonts w:ascii="宋体" w:hAnsi="宋体"/>
          <w:color w:val="auto"/>
          <w:sz w:val="24"/>
          <w:highlight w:val="none"/>
        </w:rPr>
        <w:t xml:space="preserve">合同附件1：</w:t>
      </w:r>
      <w:r>
        <w:rPr>
          <w:rFonts w:hint="eastAsia" w:ascii="宋体" w:hAnsi="宋体"/>
          <w:color w:val="auto"/>
          <w:sz w:val="24"/>
          <w:highlight w:val="none"/>
        </w:rPr>
        <w:t xml:space="preserve">分项价格表</w:t>
      </w:r>
      <w:r/>
    </w:p>
    <w:p>
      <w:pPr>
        <w:rPr>
          <w:rFonts w:ascii="宋体" w:hAnsi="宋体"/>
          <w:color w:val="auto"/>
          <w:sz w:val="24"/>
          <w:highlight w:val="none"/>
        </w:rPr>
      </w:pPr>
      <w:r>
        <w:rPr>
          <w:rFonts w:ascii="宋体" w:hAnsi="宋体"/>
          <w:color w:val="auto"/>
          <w:sz w:val="24"/>
          <w:highlight w:val="none"/>
        </w:rPr>
        <w:t xml:space="preserve">(要求见《</w:t>
      </w:r>
      <w:r>
        <w:rPr>
          <w:rFonts w:hint="eastAsia" w:ascii="宋体" w:hAnsi="宋体"/>
          <w:color w:val="auto"/>
          <w:sz w:val="24"/>
          <w:highlight w:val="none"/>
        </w:rPr>
        <w:t xml:space="preserve">磋商</w:t>
      </w:r>
      <w:r>
        <w:rPr>
          <w:rFonts w:ascii="宋体" w:hAnsi="宋体"/>
          <w:color w:val="auto"/>
          <w:sz w:val="24"/>
          <w:highlight w:val="none"/>
        </w:rPr>
        <w:t xml:space="preserve">文件》附件：3、《报价表》；合同见乙方响应文件。)</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t xml:space="preserve">合同附件2：维保方案(要求见《</w:t>
      </w:r>
      <w:r>
        <w:rPr>
          <w:rFonts w:hint="eastAsia" w:ascii="宋体" w:hAnsi="宋体"/>
          <w:color w:val="auto"/>
          <w:sz w:val="24"/>
          <w:highlight w:val="none"/>
        </w:rPr>
        <w:t xml:space="preserve">磋商</w:t>
      </w:r>
      <w:r>
        <w:rPr>
          <w:rFonts w:ascii="宋体" w:hAnsi="宋体"/>
          <w:color w:val="auto"/>
          <w:sz w:val="24"/>
          <w:highlight w:val="none"/>
        </w:rPr>
        <w:t xml:space="preserve">文件》附件：2、《项目要求（采购需求）》；合同见乙方响应文件。)</w:t>
      </w:r>
      <w:r/>
    </w:p>
    <w:p>
      <w:pPr>
        <w:pStyle w:val="872"/>
        <w:rPr>
          <w:rFonts w:ascii="宋体" w:hAnsi="宋体"/>
          <w:color w:val="auto"/>
          <w:sz w:val="24"/>
          <w:highlight w:val="none"/>
        </w:rPr>
      </w:pPr>
      <w:r>
        <w:rPr>
          <w:rFonts w:ascii="宋体" w:hAnsi="宋体"/>
          <w:color w:val="auto"/>
          <w:sz w:val="24"/>
          <w:highlight w:val="none"/>
        </w:rPr>
      </w:r>
      <w:r/>
    </w:p>
    <w:p>
      <w:pPr>
        <w:pStyle w:val="872"/>
        <w:rPr>
          <w:rFonts w:hint="eastAsia" w:ascii="宋体" w:hAnsi="宋体" w:eastAsia="宋体"/>
          <w:color w:val="auto"/>
          <w:sz w:val="24"/>
          <w:highlight w:val="none"/>
          <w:lang w:val="en-US" w:eastAsia="zh-CN"/>
        </w:rPr>
      </w:pPr>
      <w:r>
        <w:rPr>
          <w:rFonts w:ascii="宋体" w:hAnsi="宋体"/>
          <w:color w:val="auto"/>
          <w:sz w:val="24"/>
          <w:highlight w:val="none"/>
        </w:rPr>
        <w:t xml:space="preserve">合同附件</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考核表</w:t>
      </w:r>
      <w:r/>
    </w:p>
    <w:p>
      <w:pPr>
        <w:ind w:left="1440" w:right="1440"/>
        <w:spacing w:after="120"/>
        <w:rPr>
          <w:rFonts w:ascii="宋体" w:hAnsi="宋体" w:cs="宋体"/>
          <w:color w:val="auto"/>
          <w:sz w:val="24"/>
          <w:highlight w:val="none"/>
        </w:rPr>
      </w:pPr>
      <w:r>
        <w:rPr>
          <w:rFonts w:ascii="宋体" w:hAnsi="宋体" w:cs="宋体"/>
          <w:color w:val="auto"/>
          <w:sz w:val="24"/>
          <w:highlight w:val="none"/>
        </w:rPr>
      </w:r>
      <w:r/>
    </w:p>
    <w:p>
      <w:pPr>
        <w:rPr>
          <w:rFonts w:hint="eastAsia" w:hAnsi="宋体" w:cs="宋体"/>
          <w:b/>
          <w:color w:val="auto"/>
          <w:sz w:val="36"/>
          <w:highlight w:val="none"/>
        </w:rPr>
      </w:pPr>
      <w:r>
        <w:rPr>
          <w:rFonts w:hint="eastAsia" w:hAnsi="宋体" w:cs="宋体"/>
          <w:b/>
          <w:color w:val="auto"/>
          <w:sz w:val="36"/>
          <w:highlight w:val="none"/>
        </w:rPr>
        <w:br w:type="page" w:clear="all"/>
      </w:r>
      <w:r/>
    </w:p>
    <w:p>
      <w:pPr>
        <w:jc w:val="left"/>
        <w:pageBreakBefore w:val="0"/>
        <w:spacing w:line="400" w:lineRule="exact"/>
        <w:widowControl w:val="off"/>
        <w:rPr>
          <w:rFonts w:hint="eastAsia" w:ascii="宋体" w:hAnsi="宋体" w:eastAsia="宋体" w:cs="宋体"/>
          <w:b/>
          <w:color w:val="auto"/>
          <w:sz w:val="28"/>
          <w:szCs w:val="28"/>
          <w:highlight w:val="none"/>
          <w:lang w:val="en-US" w:eastAsia="en-US" w:bidi="ar-SA"/>
        </w:rPr>
      </w:pPr>
      <w:r>
        <w:rPr>
          <w:rFonts w:ascii="宋体" w:hAnsi="宋体"/>
          <w:color w:val="auto"/>
          <w:sz w:val="24"/>
          <w:highlight w:val="none"/>
        </w:rPr>
        <w:t xml:space="preserve">合同附件</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p>
    <w:p>
      <w:pPr>
        <w:ind w:left="0" w:firstLine="562"/>
        <w:jc w:val="center"/>
        <w:pageBreakBefore w:val="0"/>
        <w:spacing w:line="400" w:lineRule="exact"/>
        <w:widowControl w:val="off"/>
        <w:rPr>
          <w:rFonts w:hint="eastAsia" w:ascii="宋体" w:hAnsi="宋体" w:eastAsia="宋体" w:cs="宋体"/>
          <w:b/>
          <w:color w:val="auto"/>
          <w:sz w:val="28"/>
          <w:szCs w:val="28"/>
          <w:highlight w:val="none"/>
          <w:lang w:val="en-US" w:eastAsia="en-US" w:bidi="ar-SA"/>
        </w:rPr>
      </w:pPr>
      <w:r>
        <w:rPr>
          <w:rFonts w:hint="eastAsia" w:ascii="宋体" w:hAnsi="宋体" w:eastAsia="宋体" w:cs="宋体"/>
          <w:b/>
          <w:color w:val="auto"/>
          <w:sz w:val="28"/>
          <w:szCs w:val="28"/>
          <w:highlight w:val="none"/>
          <w:lang w:val="en-US" w:eastAsia="en-US" w:bidi="ar-SA"/>
        </w:rPr>
        <w:t xml:space="preserve">视频监控系统维保服务考核表</w:t>
      </w:r>
      <w:r/>
    </w:p>
    <w:tbl>
      <w:tblPr>
        <w:tblStyle w:val="871"/>
        <w:tblW w:w="9600" w:type="dxa"/>
        <w:tblInd w:w="-513"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643"/>
        <w:gridCol w:w="1102"/>
        <w:gridCol w:w="1229"/>
        <w:gridCol w:w="1966"/>
        <w:gridCol w:w="1215"/>
        <w:gridCol w:w="3445"/>
      </w:tblGrid>
      <w:tr>
        <w:trPr>
          <w:trHeight w:val="546"/>
        </w:trPr>
        <w:tc>
          <w:tcPr>
            <w:gridSpan w:val="3"/>
            <w:shd w:val="clear" w:color="auto" w:fill="f1f1f1"/>
            <w:tcBorders>
              <w:top w:val="single" w:color="auto" w:sz="12" w:space="0"/>
              <w:bottom w:val="single" w:color="auto" w:sz="2" w:space="0"/>
            </w:tcBorders>
            <w:tcW w:w="2974"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项目名称</w:t>
            </w:r>
            <w:r/>
          </w:p>
        </w:tc>
        <w:tc>
          <w:tcPr>
            <w:shd w:val="clear" w:color="auto" w:fill="f1f1f1"/>
            <w:tcBorders>
              <w:top w:val="single" w:color="auto" w:sz="12" w:space="0"/>
              <w:bottom w:val="single" w:color="auto" w:sz="2" w:space="0"/>
            </w:tcBorders>
            <w:tcW w:w="1966"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shd w:val="clear" w:color="auto" w:fill="f1f1f1"/>
            <w:tcBorders>
              <w:top w:val="single" w:color="auto" w:sz="12" w:space="0"/>
              <w:bottom w:val="single" w:color="auto" w:sz="2" w:space="0"/>
            </w:tcBorders>
            <w:tcW w:w="121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考核日期</w:t>
            </w:r>
            <w:r/>
          </w:p>
        </w:tc>
        <w:tc>
          <w:tcPr>
            <w:shd w:val="clear" w:color="auto" w:fill="f1f1f1"/>
            <w:tcBorders>
              <w:top w:val="single" w:color="auto" w:sz="12" w:space="0"/>
              <w:bottom w:val="single" w:color="auto" w:sz="2" w:space="0"/>
            </w:tcBorders>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r>
      <w:tr>
        <w:trPr>
          <w:trHeight w:val="521"/>
        </w:trPr>
        <w:tc>
          <w:tcPr>
            <w:gridSpan w:val="3"/>
            <w:tcBorders>
              <w:top w:val="single" w:color="auto" w:sz="2" w:space="0"/>
            </w:tcBorders>
            <w:tcW w:w="2974"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需求单位</w:t>
            </w:r>
            <w:r/>
          </w:p>
        </w:tc>
        <w:tc>
          <w:tcPr>
            <w:tcBorders>
              <w:top w:val="single" w:color="auto" w:sz="2" w:space="0"/>
            </w:tcBorders>
            <w:tcW w:w="1966"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Borders>
              <w:top w:val="single" w:color="auto" w:sz="2" w:space="0"/>
            </w:tcBorders>
            <w:tcW w:w="121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服务</w:t>
            </w:r>
            <w:r>
              <w:rPr>
                <w:rFonts w:hint="eastAsia" w:ascii="宋体" w:hAnsi="宋体" w:eastAsia="宋体" w:cs="宋体"/>
                <w:color w:val="auto"/>
                <w:sz w:val="22"/>
                <w:szCs w:val="22"/>
                <w:highlight w:val="none"/>
                <w:lang w:val="en-US" w:eastAsia="en-US" w:bidi="ar-SA"/>
              </w:rPr>
              <w:t xml:space="preserve">单位</w:t>
            </w:r>
            <w:r/>
          </w:p>
        </w:tc>
        <w:tc>
          <w:tcPr>
            <w:tcBorders>
              <w:top w:val="single" w:color="auto" w:sz="2" w:space="0"/>
            </w:tcBorders>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r>
      <w:tr>
        <w:trPr>
          <w:trHeight w:val="521"/>
        </w:trPr>
        <w:tc>
          <w:tcPr>
            <w:tcW w:w="643" w:type="dxa"/>
            <w:vAlign w:val="center"/>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序号</w:t>
            </w:r>
            <w:r/>
          </w:p>
        </w:tc>
        <w:tc>
          <w:tcPr>
            <w:tcW w:w="1102"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考核项目</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评价标准</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满意情况</w:t>
            </w:r>
            <w:r/>
          </w:p>
        </w:tc>
      </w:tr>
      <w:tr>
        <w:trPr>
          <w:trHeight w:val="521"/>
        </w:trPr>
        <w:tc>
          <w:tcPr>
            <w:tcW w:w="643" w:type="dxa"/>
            <w:vAlign w:val="center"/>
            <w:vMerge w:val="restart"/>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1</w:t>
            </w:r>
            <w:r/>
          </w:p>
        </w:tc>
        <w:tc>
          <w:tcPr>
            <w:tcW w:w="1102" w:type="dxa"/>
            <w:vAlign w:val="center"/>
            <w:vMerge w:val="restart"/>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en-US" w:bidi="ar-SA"/>
              </w:rPr>
              <w:t xml:space="preserve">项目</w:t>
            </w:r>
            <w:r>
              <w:rPr>
                <w:rFonts w:hint="eastAsia" w:ascii="宋体" w:hAnsi="宋体" w:eastAsia="宋体" w:cs="宋体"/>
                <w:color w:val="auto"/>
                <w:sz w:val="22"/>
                <w:szCs w:val="22"/>
                <w:highlight w:val="none"/>
                <w:lang w:val="en-US" w:eastAsia="zh-CN" w:bidi="ar-SA"/>
              </w:rPr>
              <w:t xml:space="preserve">服务</w:t>
            </w:r>
            <w:r/>
          </w:p>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机构情况</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服务</w:t>
            </w:r>
            <w:r>
              <w:rPr>
                <w:rFonts w:hint="eastAsia" w:ascii="宋体" w:hAnsi="宋体" w:eastAsia="宋体" w:cs="宋体"/>
                <w:color w:val="auto"/>
                <w:sz w:val="22"/>
                <w:szCs w:val="22"/>
                <w:highlight w:val="none"/>
                <w:lang w:val="en-US" w:eastAsia="en-US" w:bidi="ar-SA"/>
              </w:rPr>
              <w:t xml:space="preserve">机构健全，满足项目对工作机构的要求</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人员落实到位，满足项目对工作人员的要求</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restart"/>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2</w:t>
            </w:r>
            <w:r/>
          </w:p>
        </w:tc>
        <w:tc>
          <w:tcPr>
            <w:tcW w:w="1102" w:type="dxa"/>
            <w:vAlign w:val="center"/>
            <w:vMerge w:val="restart"/>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项目监理</w:t>
            </w:r>
            <w:r/>
          </w:p>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实施情况</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服务覆盖了</w:t>
            </w: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工作各个阶段</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核查服务单位的服务人员、工具到位情况</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917"/>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督促服务单位按照</w:t>
            </w: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计划执行,并抽查执行情况</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985"/>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定期对</w:t>
            </w: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质量进行考核和评估,发现问题及时报告甲方</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服务响应及时</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restart"/>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3</w:t>
            </w:r>
            <w:r/>
          </w:p>
        </w:tc>
        <w:tc>
          <w:tcPr>
            <w:tcW w:w="1102" w:type="dxa"/>
            <w:vAlign w:val="center"/>
            <w:vMerge w:val="restart"/>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安全保密</w:t>
            </w:r>
            <w:r/>
          </w:p>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控制情况</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能及时消除失泄密隐患</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无安全保密违规行为</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restart"/>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4</w:t>
            </w:r>
            <w:r/>
          </w:p>
        </w:tc>
        <w:tc>
          <w:tcPr>
            <w:tcW w:w="1102" w:type="dxa"/>
            <w:vAlign w:val="center"/>
            <w:vMerge w:val="restart"/>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合同管理</w:t>
            </w:r>
            <w:r/>
          </w:p>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情况</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按标准要求执行合同管理，执行情况良好</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917"/>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能有效处理合同内各种问题，合同管理效果良好</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942"/>
        </w:trPr>
        <w:tc>
          <w:tcPr>
            <w:tcW w:w="643" w:type="dxa"/>
            <w:vAlign w:val="center"/>
            <w:vMerge w:val="restart"/>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5</w:t>
            </w:r>
            <w:r/>
          </w:p>
        </w:tc>
        <w:tc>
          <w:tcPr>
            <w:tcW w:w="1102" w:type="dxa"/>
            <w:vAlign w:val="center"/>
            <w:vMerge w:val="restart"/>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资料管理</w:t>
            </w:r>
            <w:r/>
          </w:p>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情况</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按标准文档管理要求整理汇总、保管</w:t>
            </w: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文档，管理情况良好</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每月提供</w:t>
            </w: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月度工作报告</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资料真实、完整、及时</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6</w:t>
            </w:r>
            <w:r/>
          </w:p>
        </w:tc>
        <w:tc>
          <w:tcPr>
            <w:tcW w:w="1102"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组织协调</w:t>
            </w:r>
            <w:r/>
          </w:p>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情况</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沟通灵活、及时、有效、协调效果良好</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917"/>
        </w:trPr>
        <w:tc>
          <w:tcPr>
            <w:tcW w:w="643" w:type="dxa"/>
            <w:vAlign w:val="center"/>
            <w:vMerge w:val="restart"/>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7</w:t>
            </w:r>
            <w:r/>
          </w:p>
        </w:tc>
        <w:tc>
          <w:tcPr>
            <w:tcW w:w="1102" w:type="dxa"/>
            <w:vAlign w:val="center"/>
            <w:vMerge w:val="restart"/>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服务能力</w:t>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人员有较高的业务能力和组织协调能力，能胜任本职工作</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521"/>
        </w:trPr>
        <w:tc>
          <w:tcPr>
            <w:tcW w:w="643" w:type="dxa"/>
            <w:vAlign w:val="center"/>
            <w:vMerge w:val="continue"/>
            <w:textDirection w:val="lrTb"/>
            <w:noWrap w:val="false"/>
          </w:tcPr>
          <w:p>
            <w:pPr>
              <w:jc w:val="center"/>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tcW w:w="1102" w:type="dxa"/>
            <w:vAlign w:val="center"/>
            <w:vMerge w:val="continue"/>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r>
            <w:r/>
          </w:p>
        </w:tc>
        <w:tc>
          <w:tcPr>
            <w:gridSpan w:val="3"/>
            <w:tcW w:w="441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 xml:space="preserve">维保</w:t>
            </w:r>
            <w:r>
              <w:rPr>
                <w:rFonts w:hint="eastAsia" w:ascii="宋体" w:hAnsi="宋体" w:eastAsia="宋体" w:cs="宋体"/>
                <w:color w:val="auto"/>
                <w:sz w:val="22"/>
                <w:szCs w:val="22"/>
                <w:highlight w:val="none"/>
                <w:lang w:val="en-US" w:eastAsia="en-US" w:bidi="ar-SA"/>
              </w:rPr>
              <w:t xml:space="preserve">人员稳定</w:t>
            </w:r>
            <w:r/>
          </w:p>
        </w:tc>
        <w:tc>
          <w:tcPr>
            <w:tcW w:w="34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□满意 □基本满意 □不满意</w:t>
            </w:r>
            <w:r/>
          </w:p>
        </w:tc>
      </w:tr>
      <w:tr>
        <w:trPr>
          <w:trHeight w:val="4125"/>
        </w:trPr>
        <w:tc>
          <w:tcPr>
            <w:gridSpan w:val="2"/>
            <w:tcW w:w="1745"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评价结果</w:t>
            </w:r>
            <w:r/>
          </w:p>
        </w:tc>
        <w:tc>
          <w:tcPr>
            <w:gridSpan w:val="4"/>
            <w:tcW w:w="7855" w:type="dxa"/>
            <w:vAlign w:val="center"/>
            <w:textDirection w:val="lrTb"/>
            <w:noWrap w:val="false"/>
          </w:tcPr>
          <w:p>
            <w:pPr>
              <w:jc w:val="both"/>
              <w:pageBreakBefore w:val="0"/>
              <w:spacing w:after="120" w:line="400" w:lineRule="exact"/>
              <w:widowControl w:val="off"/>
              <w:rPr>
                <w:rFonts w:hint="eastAsia" w:ascii="Times New Roman" w:hAnsi="Times New Roman" w:eastAsia="宋体" w:cs="Times New Roman"/>
                <w:color w:val="auto"/>
                <w:sz w:val="22"/>
                <w:szCs w:val="18"/>
                <w:highlight w:val="none"/>
                <w:lang w:val="en-US" w:eastAsia="en-US"/>
              </w:rPr>
            </w:pPr>
            <w:r>
              <w:rPr>
                <w:rFonts w:hint="eastAsia" w:ascii="Times New Roman" w:hAnsi="Times New Roman" w:eastAsia="宋体" w:cs="Times New Roman"/>
                <w:color w:val="auto"/>
                <w:sz w:val="22"/>
                <w:szCs w:val="18"/>
                <w:highlight w:val="none"/>
                <w:lang w:val="en-US" w:eastAsia="en-US"/>
              </w:rPr>
              <w:t xml:space="preserve">□合格（满意率≥85%）</w:t>
            </w:r>
            <w:r/>
          </w:p>
          <w:p>
            <w:pPr>
              <w:jc w:val="both"/>
              <w:pageBreakBefore w:val="0"/>
              <w:spacing w:after="120" w:line="400" w:lineRule="exact"/>
              <w:widowControl w:val="off"/>
              <w:rPr>
                <w:rFonts w:hint="eastAsia" w:ascii="Times New Roman" w:hAnsi="Times New Roman" w:eastAsia="宋体" w:cs="Times New Roman"/>
                <w:color w:val="auto"/>
                <w:sz w:val="22"/>
                <w:szCs w:val="18"/>
                <w:highlight w:val="none"/>
                <w:lang w:val="en-US" w:eastAsia="en-US"/>
              </w:rPr>
            </w:pPr>
            <w:r>
              <w:rPr>
                <w:rFonts w:hint="eastAsia" w:ascii="Times New Roman" w:hAnsi="Times New Roman" w:eastAsia="宋体" w:cs="Times New Roman"/>
                <w:color w:val="auto"/>
                <w:sz w:val="22"/>
                <w:szCs w:val="18"/>
                <w:highlight w:val="none"/>
                <w:lang w:val="en-US" w:eastAsia="en-US"/>
              </w:rPr>
              <w:t xml:space="preserve">□基本合格（85%&gt;满意率≥60%）</w:t>
            </w:r>
            <w:r/>
          </w:p>
          <w:p>
            <w:pPr>
              <w:jc w:val="both"/>
              <w:pageBreakBefore w:val="0"/>
              <w:spacing w:after="120" w:line="400" w:lineRule="exact"/>
              <w:widowControl w:val="off"/>
              <w:rPr>
                <w:rFonts w:hint="eastAsia" w:ascii="Times New Roman" w:hAnsi="Times New Roman" w:eastAsia="宋体" w:cs="Times New Roman"/>
                <w:color w:val="auto"/>
                <w:sz w:val="22"/>
                <w:szCs w:val="18"/>
                <w:highlight w:val="none"/>
                <w:lang w:val="en-US" w:eastAsia="en-US"/>
              </w:rPr>
            </w:pPr>
            <w:r>
              <w:rPr>
                <w:rFonts w:hint="eastAsia" w:ascii="Times New Roman" w:hAnsi="Times New Roman" w:eastAsia="宋体" w:cs="Times New Roman"/>
                <w:color w:val="auto"/>
                <w:sz w:val="22"/>
                <w:szCs w:val="18"/>
                <w:highlight w:val="none"/>
                <w:lang w:val="en-US" w:eastAsia="en-US"/>
              </w:rPr>
              <w:t xml:space="preserve">□不合格（满意率&lt;60%）</w:t>
            </w:r>
            <w:r/>
          </w:p>
          <w:p>
            <w:pPr>
              <w:spacing w:line="312" w:lineRule="auto"/>
              <w:rPr>
                <w:rFonts w:hint="eastAsia" w:ascii="Times New Roman" w:hAnsi="Times New Roman" w:eastAsia="宋体" w:cs="Times New Roman"/>
                <w:color w:val="auto"/>
                <w:sz w:val="22"/>
                <w:szCs w:val="18"/>
                <w:highlight w:val="none"/>
                <w:lang w:val="en-US" w:eastAsia="en-US" w:bidi="ar-SA"/>
              </w:rPr>
            </w:pPr>
            <w:r>
              <w:rPr>
                <w:rFonts w:hint="eastAsia" w:ascii="Times New Roman" w:hAnsi="Times New Roman" w:eastAsia="宋体" w:cs="Times New Roman"/>
                <w:color w:val="auto"/>
                <w:sz w:val="22"/>
                <w:szCs w:val="18"/>
                <w:highlight w:val="none"/>
                <w:lang w:val="en-US" w:eastAsia="en-US" w:bidi="ar-SA"/>
              </w:rPr>
              <w:t xml:space="preserve">（1）结果合格：按合同约定付款；</w:t>
            </w:r>
            <w:r/>
          </w:p>
          <w:p>
            <w:pPr>
              <w:spacing w:line="312" w:lineRule="auto"/>
              <w:rPr>
                <w:rFonts w:hint="eastAsia" w:ascii="Times New Roman" w:hAnsi="Times New Roman" w:eastAsia="宋体" w:cs="Times New Roman"/>
                <w:color w:val="auto"/>
                <w:sz w:val="22"/>
                <w:szCs w:val="18"/>
                <w:highlight w:val="none"/>
                <w:lang w:val="en-US" w:eastAsia="en-US" w:bidi="ar-SA"/>
              </w:rPr>
            </w:pPr>
            <w:r>
              <w:rPr>
                <w:rFonts w:hint="eastAsia" w:ascii="Times New Roman" w:hAnsi="Times New Roman" w:eastAsia="宋体" w:cs="Times New Roman"/>
                <w:color w:val="auto"/>
                <w:sz w:val="22"/>
                <w:szCs w:val="18"/>
                <w:highlight w:val="none"/>
                <w:lang w:val="en-US" w:eastAsia="en-US" w:bidi="ar-SA"/>
              </w:rPr>
              <w:t xml:space="preserve">（2）结果</w:t>
            </w:r>
            <w:r>
              <w:rPr>
                <w:rFonts w:hint="eastAsia" w:ascii="Times New Roman" w:hAnsi="Times New Roman" w:eastAsia="宋体" w:cs="Times New Roman"/>
                <w:color w:val="auto"/>
                <w:sz w:val="22"/>
                <w:szCs w:val="18"/>
                <w:highlight w:val="none"/>
                <w:lang w:val="en-US" w:eastAsia="en-US"/>
              </w:rPr>
              <w:t xml:space="preserve">基本合格</w:t>
            </w:r>
            <w:r>
              <w:rPr>
                <w:rFonts w:hint="eastAsia" w:ascii="Times New Roman" w:hAnsi="Times New Roman" w:eastAsia="宋体" w:cs="Times New Roman"/>
                <w:color w:val="auto"/>
                <w:sz w:val="22"/>
                <w:szCs w:val="18"/>
                <w:highlight w:val="none"/>
                <w:lang w:val="en-US" w:eastAsia="en-US" w:bidi="ar-SA"/>
              </w:rPr>
              <w:t xml:space="preserve">：需扣除</w:t>
            </w:r>
            <w:r>
              <w:rPr>
                <w:rFonts w:hint="eastAsia" w:ascii="Times New Roman" w:hAnsi="Times New Roman" w:eastAsia="宋体" w:cs="Times New Roman"/>
                <w:color w:val="auto"/>
                <w:sz w:val="22"/>
                <w:szCs w:val="18"/>
                <w:highlight w:val="none"/>
                <w:lang w:val="en-US" w:eastAsia="zh-CN" w:bidi="ar-SA"/>
              </w:rPr>
              <w:t xml:space="preserve">维保</w:t>
            </w:r>
            <w:r>
              <w:rPr>
                <w:rFonts w:hint="eastAsia" w:ascii="Times New Roman" w:hAnsi="Times New Roman" w:eastAsia="宋体" w:cs="Times New Roman"/>
                <w:color w:val="auto"/>
                <w:sz w:val="22"/>
                <w:szCs w:val="18"/>
                <w:highlight w:val="none"/>
                <w:lang w:val="en-US" w:eastAsia="en-US" w:bidi="ar-SA"/>
              </w:rPr>
              <w:t xml:space="preserve">费的10%；</w:t>
            </w:r>
            <w:r/>
          </w:p>
          <w:p>
            <w:pPr>
              <w:spacing w:line="312" w:lineRule="auto"/>
              <w:rPr>
                <w:rFonts w:hint="eastAsia" w:ascii="Times New Roman" w:hAnsi="Times New Roman" w:eastAsia="宋体" w:cs="Times New Roman"/>
                <w:color w:val="auto"/>
                <w:sz w:val="22"/>
                <w:szCs w:val="18"/>
                <w:highlight w:val="none"/>
                <w:lang w:val="en-US" w:eastAsia="en-US" w:bidi="ar-SA"/>
              </w:rPr>
            </w:pPr>
            <w:r>
              <w:rPr>
                <w:rFonts w:hint="eastAsia" w:ascii="Times New Roman" w:hAnsi="Times New Roman" w:eastAsia="宋体" w:cs="Times New Roman"/>
                <w:color w:val="auto"/>
                <w:sz w:val="22"/>
                <w:szCs w:val="18"/>
                <w:highlight w:val="none"/>
                <w:lang w:val="en-US" w:eastAsia="en-US" w:bidi="ar-SA"/>
              </w:rPr>
              <w:t xml:space="preserve">（3）结果不合格：不付款。中标人需按采购人要求整改，整改期间采购人另有安排的，需承担采购人一切损失</w:t>
            </w:r>
            <w:r>
              <w:rPr>
                <w:rFonts w:hint="eastAsia" w:ascii="Times New Roman" w:hAnsi="Times New Roman" w:eastAsia="宋体" w:cs="Times New Roman"/>
                <w:color w:val="auto"/>
                <w:sz w:val="22"/>
                <w:szCs w:val="18"/>
                <w:highlight w:val="none"/>
                <w:lang w:val="en-US" w:eastAsia="zh-CN" w:bidi="ar-SA"/>
              </w:rPr>
              <w:t xml:space="preserve">；</w:t>
            </w:r>
            <w:r>
              <w:rPr>
                <w:rFonts w:hint="eastAsia" w:ascii="Times New Roman" w:hAnsi="Times New Roman" w:eastAsia="宋体" w:cs="Times New Roman"/>
                <w:color w:val="auto"/>
                <w:sz w:val="22"/>
                <w:szCs w:val="18"/>
                <w:highlight w:val="none"/>
                <w:lang w:val="en-US" w:eastAsia="en-US" w:bidi="ar-SA"/>
              </w:rPr>
              <w:t xml:space="preserve">如拒绝整改的，甲方有权暂停</w:t>
            </w:r>
            <w:r>
              <w:rPr>
                <w:rFonts w:hint="eastAsia" w:ascii="Times New Roman" w:hAnsi="Times New Roman" w:eastAsia="宋体" w:cs="Times New Roman"/>
                <w:color w:val="auto"/>
                <w:sz w:val="22"/>
                <w:szCs w:val="18"/>
                <w:highlight w:val="none"/>
                <w:lang w:val="en-US" w:eastAsia="zh-CN" w:bidi="ar-SA"/>
              </w:rPr>
              <w:t xml:space="preserve">服务</w:t>
            </w:r>
            <w:r>
              <w:rPr>
                <w:rFonts w:hint="eastAsia" w:ascii="Times New Roman" w:hAnsi="Times New Roman" w:eastAsia="宋体" w:cs="Times New Roman"/>
                <w:color w:val="auto"/>
                <w:sz w:val="22"/>
                <w:szCs w:val="18"/>
                <w:highlight w:val="none"/>
                <w:lang w:val="en-US" w:eastAsia="en-US" w:bidi="ar-SA"/>
              </w:rPr>
              <w:t xml:space="preserve">，并拒绝任何付款。</w:t>
            </w:r>
            <w:r>
              <w:rPr>
                <w:rFonts w:hint="eastAsia" w:ascii="Times New Roman" w:hAnsi="Times New Roman" w:eastAsia="宋体" w:cs="Times New Roman"/>
                <w:color w:val="auto"/>
                <w:sz w:val="22"/>
                <w:szCs w:val="18"/>
                <w:highlight w:val="none"/>
                <w:lang w:val="en-US" w:eastAsia="en-US" w:bidi="ar-SA"/>
              </w:rPr>
              <w:br/>
            </w:r>
            <w:r>
              <w:rPr>
                <w:rFonts w:hint="eastAsia" w:ascii="Times New Roman" w:hAnsi="Times New Roman" w:eastAsia="宋体" w:cs="Times New Roman"/>
                <w:color w:val="auto"/>
                <w:sz w:val="22"/>
                <w:szCs w:val="18"/>
                <w:highlight w:val="none"/>
                <w:lang w:val="en-US" w:eastAsia="en-US" w:bidi="ar-SA"/>
              </w:rPr>
              <w:t xml:space="preserve">2、本表作为合同附件，与合同具有同等法律效应。</w:t>
            </w:r>
            <w:r/>
          </w:p>
        </w:tc>
      </w:tr>
      <w:tr>
        <w:trPr>
          <w:trHeight w:val="1981"/>
        </w:trPr>
        <w:tc>
          <w:tcPr>
            <w:gridSpan w:val="6"/>
            <w:tcW w:w="9600" w:type="dxa"/>
            <w:vAlign w:val="center"/>
            <w:textDirection w:val="lrTb"/>
            <w:noWrap w:val="false"/>
          </w:tcPr>
          <w:p>
            <w:pPr>
              <w:jc w:val="both"/>
              <w:pageBreakBefore w:val="0"/>
              <w:spacing w:after="12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总体评价：</w:t>
            </w:r>
            <w:r/>
          </w:p>
          <w:p>
            <w:pPr>
              <w:jc w:val="both"/>
              <w:pageBreakBefore w:val="0"/>
              <w:spacing w:after="12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需求</w:t>
            </w:r>
            <w:r>
              <w:rPr>
                <w:rFonts w:hint="eastAsia" w:ascii="宋体" w:hAnsi="宋体" w:eastAsia="宋体" w:cs="宋体"/>
                <w:color w:val="auto"/>
                <w:sz w:val="24"/>
                <w:szCs w:val="24"/>
                <w:highlight w:val="none"/>
                <w:lang w:val="en-US" w:eastAsia="en-US" w:bidi="ar-SA"/>
              </w:rPr>
              <w:t xml:space="preserve">单位：</w:t>
            </w:r>
            <w:r/>
          </w:p>
          <w:p>
            <w:pPr>
              <w:jc w:val="both"/>
              <w:pageBreakBefore w:val="0"/>
              <w:spacing w:after="12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日    期：</w:t>
            </w:r>
            <w:r/>
          </w:p>
        </w:tc>
      </w:tr>
    </w:tbl>
    <w:p>
      <w:pPr>
        <w:jc w:val="center"/>
        <w:pageBreakBefore w:val="0"/>
        <w:spacing w:before="120" w:after="120"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2"/>
        <w:rPr>
          <w:color w:val="auto"/>
          <w:highlight w:val="none"/>
        </w:rPr>
      </w:pPr>
      <w:r>
        <w:rPr>
          <w:color w:val="auto"/>
          <w:highlight w:val="none"/>
        </w:rPr>
      </w:r>
      <w:r/>
    </w:p>
    <w:p>
      <w:pPr>
        <w:rPr>
          <w:rFonts w:hint="eastAsia" w:hAnsi="宋体" w:cs="宋体"/>
          <w:b/>
          <w:color w:val="auto"/>
          <w:sz w:val="36"/>
          <w:highlight w:val="none"/>
        </w:rPr>
      </w:pPr>
      <w:r>
        <w:rPr>
          <w:rFonts w:hint="eastAsia" w:hAnsi="宋体" w:cs="宋体"/>
          <w:b/>
          <w:color w:val="auto"/>
          <w:sz w:val="36"/>
          <w:highlight w:val="none"/>
        </w:rPr>
        <w:br w:type="page" w:clear="all"/>
      </w:r>
      <w:r/>
    </w:p>
    <w:p>
      <w:pPr>
        <w:pStyle w:val="983"/>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徐州市机关事务管理局</w:t>
      </w:r>
      <w:r>
        <w:rPr>
          <w:rFonts w:hint="eastAsia" w:ascii="宋体" w:hAnsi="宋体" w:cs="宋体"/>
          <w:b/>
          <w:bCs/>
          <w:color w:val="auto"/>
          <w:sz w:val="24"/>
          <w:highlight w:val="none"/>
        </w:rPr>
        <w:t xml:space="preserve">：</w:t>
      </w:r>
      <w:r/>
    </w:p>
    <w:p>
      <w:pPr>
        <w:pStyle w:val="1031"/>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31"/>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JSZC-320300-JTGS-C2025-0093</w:t>
      </w:r>
      <w:r>
        <w:rPr>
          <w:rFonts w:hint="eastAsia" w:ascii="宋体" w:hAnsi="宋体" w:cs="宋体"/>
          <w:color w:val="auto"/>
          <w:sz w:val="24"/>
          <w:szCs w:val="24"/>
          <w:highlight w:val="none"/>
        </w:rPr>
        <w:t xml:space="preserve">）要求，本供应商正式提交以下首次响应文件。</w:t>
      </w:r>
      <w:r/>
    </w:p>
    <w:p>
      <w:pPr>
        <w:pStyle w:val="1031"/>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031"/>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031"/>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031"/>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031"/>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031"/>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031"/>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031"/>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auto"/>
          <w:sz w:val="24"/>
          <w:highlight w:val="none"/>
        </w:rPr>
      </w:pPr>
      <w:r>
        <w:rPr>
          <w:rFonts w:ascii="宋体" w:hAnsi="宋体" w:cs="宋体"/>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ascii="宋体" w:hAnsi="宋体" w:cs="宋体"/>
          <w:b/>
          <w:bCs/>
          <w:color w:val="auto"/>
          <w:sz w:val="24"/>
          <w:highlight w:val="none"/>
        </w:rPr>
      </w:pPr>
      <w:r>
        <w:rPr>
          <w:rFonts w:ascii="宋体" w:hAnsi="宋体" w:cs="宋体"/>
          <w:b/>
          <w:bCs/>
          <w:color w:val="auto"/>
          <w:sz w:val="24"/>
          <w:highlight w:val="none"/>
        </w:rPr>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ascii="宋体" w:hAnsi="宋体" w:cs="宋体"/>
          <w:b/>
          <w:bCs/>
          <w:color w:val="auto"/>
          <w:sz w:val="24"/>
          <w:highlight w:val="none"/>
        </w:rPr>
      </w:pPr>
      <w:r>
        <w:rPr>
          <w:rFonts w:ascii="宋体" w:hAnsi="宋体" w:cs="宋体"/>
          <w:b/>
          <w:bCs/>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8、授权委托书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法定代表人（负责人）（签字或盖章）：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9、中小企业声明函</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（徐州市机关事务管理局）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行政中心及档案馆、数据局视频监控系统维保服务</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行政中心及档案馆、数据局视频监控系统维保服务</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（专业技术服务）</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u w:val="single"/>
        </w:rPr>
        <w:t xml:space="preserve">专业技术服务</w:t>
      </w:r>
      <w:r>
        <w:rPr>
          <w:rFonts w:hint="eastAsia" w:ascii="宋体" w:hAnsi="宋体" w:cs="宋体"/>
          <w:b/>
          <w:bCs/>
          <w:color w:val="auto"/>
          <w:sz w:val="24"/>
          <w:highlight w:val="none"/>
        </w:rPr>
        <w:t xml:space="preserve">。</w:t>
      </w:r>
      <w:r/>
    </w:p>
    <w:p>
      <w:pPr>
        <w:ind w:firstLine="60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1186815</wp:posOffset>
                </wp:positionH>
                <wp:positionV relativeFrom="paragraph">
                  <wp:posOffset>1688465</wp:posOffset>
                </wp:positionV>
                <wp:extent cx="2789555" cy="5066030"/>
                <wp:effectExtent l="0" t="0" r="10795" b="1270"/>
                <wp:wrapTopAndBottom/>
                <wp:docPr id="11" name="图片 16"/>
                <wp:cNvGraphicFramePr/>
                <a:graphic xmlns:a="http://schemas.openxmlformats.org/drawingml/2006/main">
                  <a:graphicData uri="http://schemas.openxmlformats.org/drawingml/2006/picture">
                    <pic:pic xmlns:pic="http://schemas.openxmlformats.org/drawingml/2006/picture">
                      <pic:nvPicPr>
                        <pic:cNvPr id="21" name="图片 16"/>
                        <pic:cNvPicPr/>
                        <pic:nvPr/>
                      </pic:nvPicPr>
                      <pic:blipFill>
                        <a:blip r:embed="rId19"/>
                        <a:stretch/>
                      </pic:blipFill>
                      <pic:spPr bwMode="auto">
                        <a:xfrm>
                          <a:off x="0" y="0"/>
                          <a:ext cx="2789555" cy="506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93.4pt;mso-position-horizontal:absolute;mso-position-vertical-relative:text;margin-top:132.9pt;mso-position-vertical:absolute;width:219.6pt;height:398.9pt;mso-wrap-distance-left:9.0pt;mso-wrap-distance-top:0.0pt;mso-wrap-distance-right:9.0pt;mso-wrap-distance-bottom:0.0pt;" stroked="f">
                <v:path textboxrect="0,0,0,0"/>
                <w10:wrap type="topAndBottom"/>
                <v:imagedata r:id="rId19" o:title=""/>
              </v:shape>
            </w:pict>
          </mc:Fallback>
        </mc:AlternateContent>
      </w:r>
      <w:r>
        <w:rPr>
          <w:rFonts w:hint="eastAsia" w:ascii="宋体" w:hAnsi="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行政中心及档案馆、数据局视频监控系统维保服务</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lang w:eastAsia="zh-CN"/>
        </w:rPr>
        <w:t xml:space="preserve">JSZC-320300-JTGS-C2025-0093</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pStyle w:val="985"/>
        <w:ind w:left="239" w:firstLine="2640"/>
        <w:rPr>
          <w:color w:val="auto"/>
          <w:highlight w:val="none"/>
        </w:rPr>
      </w:pPr>
      <w:r>
        <w:rPr>
          <w:color w:val="auto"/>
          <w:highlight w:val="none"/>
        </w:rPr>
      </w:r>
      <w:r/>
    </w:p>
    <w:p>
      <w:pPr>
        <w:jc w:val="center"/>
        <w:spacing w:line="588" w:lineRule="exact"/>
        <w:rPr>
          <w:rFonts w:ascii="宋体" w:hAnsi="宋体" w:cs="宋体"/>
          <w:b/>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bookmarkStart w:id="1" w:name="OLE_LINK13"/>
      <w:r/>
      <w:bookmarkStart w:id="2" w:name="OLE_LINK14"/>
      <w:r>
        <w:rPr>
          <w:rFonts w:hint="eastAsia" w:ascii="宋体" w:hAnsi="宋体" w:cs="宋体"/>
          <w:b/>
          <w:color w:val="auto"/>
          <w:sz w:val="36"/>
          <w:szCs w:val="36"/>
          <w:highlight w:val="none"/>
        </w:rPr>
        <w:t xml:space="preserve">11、具备履行合同所必需的设备和专业技术能力的书面声明（附证明材料扫描件）</w:t>
      </w:r>
      <w:r/>
    </w:p>
    <w:p>
      <w:pPr>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行政中心及档案馆、数据局视频监控系统维保服务</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JSZC-320300-JTGS-C2025-0093</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行政中心及档案馆、数据局视频监控系统维保服务</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JSZC-320300-JTGS-C2025-0093</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12、残疾人福利性单位声明函</w:t>
      </w:r>
      <w:bookmarkEnd w:id="1"/>
      <w:r/>
      <w:bookmarkEnd w:id="2"/>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974"/>
        <w:ind w:left="0"/>
        <w:rPr>
          <w:rFonts w:ascii="宋体" w:hAnsi="宋体" w:cs="宋体"/>
          <w:color w:val="auto"/>
          <w:highlight w:val="none"/>
        </w:rPr>
      </w:pPr>
      <w:r>
        <w:rPr>
          <w:rFonts w:ascii="宋体" w:hAnsi="宋体" w:cs="宋体"/>
          <w:color w:val="auto"/>
          <w:highlight w:val="none"/>
        </w:rPr>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13、代理服务收费标准</w:t>
      </w:r>
      <w:r/>
    </w:p>
    <w:p>
      <w:pPr>
        <w:spacing w:line="360" w:lineRule="exact"/>
        <w:widowControl/>
        <w:rPr>
          <w:rFonts w:ascii="宋体" w:hAnsi="宋体" w:cs="宋体"/>
          <w:color w:val="auto"/>
          <w:sz w:val="24"/>
          <w:highlight w:val="none"/>
        </w:rPr>
      </w:pPr>
      <w:r>
        <w:rPr>
          <w:rFonts w:ascii="宋体" w:hAnsi="宋体" w:cs="宋体"/>
          <w:color w:val="auto"/>
          <w:sz w:val="24"/>
          <w:highlight w:val="none"/>
        </w:rPr>
      </w:r>
      <w:r/>
    </w:p>
    <w:tbl>
      <w:tblPr>
        <w:tblStyle w:val="87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1.按上表计算的收费为代理服务全过程的收费金额。各社会代理机构不再收取采购文件制作售卖费用。</w:t>
      </w:r>
      <w:r/>
    </w:p>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2.代理服务费按差额定率累进法计算。</w:t>
      </w:r>
      <w:r/>
    </w:p>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3.代理服务费基准金额（按差额定率累进法计算的）=中标金额（按差额定率累进法计算的） * 费率（%）</w:t>
      </w:r>
      <w:r/>
    </w:p>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4.代理服务费应收取金额=代理服务费基准金额（按差额定率累进法计算的）的合计数。</w:t>
      </w:r>
      <w:r/>
    </w:p>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5.定点类等无金额或事先不能计算出价格总额的项目，按中标（成交）金额100万元计算服务费。</w:t>
      </w:r>
      <w:r/>
    </w:p>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w:t>
      </w:r>
      <w:r>
        <w:rPr>
          <w:rFonts w:hint="eastAsia" w:ascii="宋体" w:hAnsi="宋体" w:cs="宋体"/>
          <w:color w:val="auto"/>
          <w:sz w:val="24"/>
          <w:highlight w:val="none"/>
        </w:rPr>
        <w:t xml:space="preserve">该表为自行约定的代理服务费标准。</w:t>
      </w:r>
      <w:r/>
    </w:p>
    <w:p>
      <w:pPr>
        <w:pStyle w:val="872"/>
        <w:rPr>
          <w:rFonts w:ascii="宋体" w:hAnsi="宋体" w:cs="宋体"/>
          <w:color w:val="auto"/>
          <w:sz w:val="24"/>
          <w:highlight w:val="none"/>
        </w:rPr>
      </w:pPr>
      <w:r>
        <w:rPr>
          <w:rFonts w:ascii="宋体" w:hAnsi="宋体" w:cs="宋体"/>
          <w:color w:val="auto"/>
          <w:sz w:val="24"/>
          <w:highlight w:val="none"/>
        </w:rPr>
      </w:r>
      <w:r/>
    </w:p>
    <w:p>
      <w:pPr>
        <w:pStyle w:val="872"/>
        <w:rPr>
          <w:rFonts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color w:val="auto"/>
          <w:sz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14、供应商明确表示无需预付款的承诺函</w:t>
      </w:r>
      <w:r/>
    </w:p>
    <w:p>
      <w:pPr>
        <w:ind w:firstLine="548"/>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firstLine="548"/>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48"/>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我单位在参加</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lang w:eastAsia="zh-CN"/>
        </w:rPr>
        <w:t xml:space="preserve">行政中心及档案馆、数据局视频监控系统维保服务</w:t>
      </w:r>
      <w:r>
        <w:rPr>
          <w:rFonts w:hint="eastAsia" w:ascii="宋体" w:hAnsi="宋体" w:cs="宋体"/>
          <w:bCs/>
          <w:color w:val="auto"/>
          <w:sz w:val="28"/>
          <w:szCs w:val="28"/>
          <w:highlight w:val="none"/>
        </w:rPr>
        <w:t xml:space="preserve">项目（项目编号：</w:t>
      </w:r>
      <w:r>
        <w:rPr>
          <w:rFonts w:hint="eastAsia" w:ascii="宋体" w:hAnsi="宋体" w:cs="宋体"/>
          <w:bCs/>
          <w:color w:val="auto"/>
          <w:sz w:val="28"/>
          <w:szCs w:val="28"/>
          <w:highlight w:val="none"/>
          <w:u w:val="single"/>
          <w:lang w:eastAsia="zh-CN"/>
        </w:rPr>
        <w:t xml:space="preserve">JSZC-320300-JTGS-C2025-0093</w:t>
      </w:r>
      <w:r>
        <w:rPr>
          <w:rFonts w:hint="eastAsia" w:ascii="宋体" w:hAnsi="宋体" w:cs="宋体"/>
          <w:bCs/>
          <w:color w:val="auto"/>
          <w:sz w:val="28"/>
          <w:szCs w:val="28"/>
          <w:highlight w:val="none"/>
        </w:rPr>
        <w:t xml:space="preserve">号）政府采购活动，我单位承诺在签订合同时，明确表示无需预付款。</w:t>
      </w:r>
      <w:r/>
    </w:p>
    <w:p>
      <w:pPr>
        <w:ind w:firstLine="548"/>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25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firstLine="25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15、预付款保函支付条款模板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974"/>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988"/>
      </w:rPr>
      <w:framePr w:wrap="around" w:vAnchor="text" w:hAnchor="margin" w:xAlign="center" w:y="1"/>
    </w:pPr>
    <w:r>
      <w:fldChar w:fldCharType="begin"/>
    </w:r>
    <w:r>
      <w:rPr>
        <w:rStyle w:val="988"/>
      </w:rPr>
      <w:instrText xml:space="preserve">PAGE  </w:instrTex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ascii="Calibri" w:hAnsi="Calibri"/>
                              <w:sz w:val="18"/>
                              <w:szCs w:val="18"/>
                            </w:rPr>
                          </w:pPr>
                          <w:r>
                            <w:rPr>
                              <w:rFonts w:hint="eastAsia" w:ascii="Calibri" w:hAnsi="Calibri"/>
                              <w:sz w:val="18"/>
                              <w:szCs w:val="18"/>
                            </w:rPr>
                            <w:fldChar w:fldCharType="begin"/>
                          </w:r>
                          <w:r>
                            <w:rPr>
                              <w:rFonts w:hint="eastAsia" w:ascii="Calibri" w:hAnsi="Calibri"/>
                              <w:sz w:val="18"/>
                              <w:szCs w:val="18"/>
                            </w:rPr>
                            <w:instrText xml:space="preserve"> PAGE  \* MERGEFORMAT </w:instrText>
                          </w:r>
                          <w:r>
                            <w:rPr>
                              <w:rFonts w:hint="eastAsia" w:ascii="Calibri" w:hAnsi="Calibri"/>
                              <w:sz w:val="18"/>
                              <w:szCs w:val="18"/>
                            </w:rPr>
                            <w:fldChar w:fldCharType="separate"/>
                          </w:r>
                          <w:r>
                            <w:rPr>
                              <w:rFonts w:ascii="Calibri" w:hAnsi="Calibri"/>
                              <w:sz w:val="18"/>
                              <w:szCs w:val="18"/>
                            </w:rPr>
                            <w:t xml:space="preserve">44</w:t>
                          </w:r>
                          <w:r>
                            <w:rPr>
                              <w:rFonts w:hint="eastAsia" w:ascii="Calibri" w:hAnsi="Calibri"/>
                              <w:sz w:val="18"/>
                              <w:szCs w:val="18"/>
                            </w:rPr>
                            <w:fldChar w:fldCharType="end"/>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Calibri" w:hAnsi="Calibri"/>
                        <w:sz w:val="18"/>
                        <w:szCs w:val="18"/>
                      </w:rPr>
                    </w:pPr>
                    <w:r>
                      <w:rPr>
                        <w:rFonts w:hint="eastAsia" w:ascii="Calibri" w:hAnsi="Calibri"/>
                        <w:sz w:val="18"/>
                        <w:szCs w:val="18"/>
                      </w:rPr>
                      <w:fldChar w:fldCharType="begin"/>
                    </w:r>
                    <w:r>
                      <w:rPr>
                        <w:rFonts w:hint="eastAsia" w:ascii="Calibri" w:hAnsi="Calibri"/>
                        <w:sz w:val="18"/>
                        <w:szCs w:val="18"/>
                      </w:rPr>
                      <w:instrText xml:space="preserve"> PAGE  \* MERGEFORMAT </w:instrText>
                    </w:r>
                    <w:r>
                      <w:rPr>
                        <w:rFonts w:hint="eastAsia" w:ascii="Calibri" w:hAnsi="Calibri"/>
                        <w:sz w:val="18"/>
                        <w:szCs w:val="18"/>
                      </w:rPr>
                      <w:fldChar w:fldCharType="separate"/>
                    </w:r>
                    <w:r>
                      <w:rPr>
                        <w:rFonts w:ascii="Calibri" w:hAnsi="Calibri"/>
                        <w:sz w:val="18"/>
                        <w:szCs w:val="18"/>
                      </w:rPr>
                      <w:t xml:space="preserve">44</w:t>
                    </w:r>
                    <w:r>
                      <w:rPr>
                        <w:rFonts w:hint="eastAsia" w:ascii="Calibri" w:hAnsi="Calibri"/>
                        <w:sz w:val="18"/>
                        <w:szCs w:val="18"/>
                      </w:rPr>
                      <w:fldChar w:fldCharType="end"/>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8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870"/>
    <w:link w:val="861"/>
    <w:uiPriority w:val="9"/>
    <w:rPr>
      <w:rFonts w:ascii="Arial" w:hAnsi="Arial" w:eastAsia="Arial" w:cs="Arial"/>
      <w:sz w:val="40"/>
      <w:szCs w:val="40"/>
    </w:rPr>
  </w:style>
  <w:style w:type="character" w:styleId="843">
    <w:name w:val="Heading 2 Char"/>
    <w:basedOn w:val="870"/>
    <w:link w:val="862"/>
    <w:uiPriority w:val="9"/>
    <w:rPr>
      <w:rFonts w:ascii="Arial" w:hAnsi="Arial" w:eastAsia="Arial" w:cs="Arial"/>
      <w:sz w:val="34"/>
    </w:rPr>
  </w:style>
  <w:style w:type="character" w:styleId="844">
    <w:name w:val="Heading 3 Char"/>
    <w:basedOn w:val="870"/>
    <w:link w:val="863"/>
    <w:uiPriority w:val="9"/>
    <w:rPr>
      <w:rFonts w:ascii="Arial" w:hAnsi="Arial" w:eastAsia="Arial" w:cs="Arial"/>
      <w:sz w:val="30"/>
      <w:szCs w:val="30"/>
    </w:rPr>
  </w:style>
  <w:style w:type="character" w:styleId="845">
    <w:name w:val="Heading 4 Char"/>
    <w:basedOn w:val="870"/>
    <w:link w:val="864"/>
    <w:uiPriority w:val="9"/>
    <w:rPr>
      <w:rFonts w:ascii="Arial" w:hAnsi="Arial" w:eastAsia="Arial" w:cs="Arial"/>
      <w:b/>
      <w:bCs/>
      <w:sz w:val="26"/>
      <w:szCs w:val="26"/>
    </w:rPr>
  </w:style>
  <w:style w:type="character" w:styleId="846">
    <w:name w:val="Heading 5 Char"/>
    <w:basedOn w:val="870"/>
    <w:link w:val="865"/>
    <w:uiPriority w:val="9"/>
    <w:rPr>
      <w:rFonts w:ascii="Arial" w:hAnsi="Arial" w:eastAsia="Arial" w:cs="Arial"/>
      <w:b/>
      <w:bCs/>
      <w:sz w:val="24"/>
      <w:szCs w:val="24"/>
    </w:rPr>
  </w:style>
  <w:style w:type="character" w:styleId="847">
    <w:name w:val="Heading 6 Char"/>
    <w:basedOn w:val="870"/>
    <w:link w:val="866"/>
    <w:uiPriority w:val="9"/>
    <w:rPr>
      <w:rFonts w:ascii="Arial" w:hAnsi="Arial" w:eastAsia="Arial" w:cs="Arial"/>
      <w:b/>
      <w:bCs/>
      <w:sz w:val="22"/>
      <w:szCs w:val="22"/>
    </w:rPr>
  </w:style>
  <w:style w:type="character" w:styleId="848">
    <w:name w:val="Heading 7 Char"/>
    <w:basedOn w:val="870"/>
    <w:link w:val="867"/>
    <w:uiPriority w:val="9"/>
    <w:rPr>
      <w:rFonts w:ascii="Arial" w:hAnsi="Arial" w:eastAsia="Arial" w:cs="Arial"/>
      <w:b/>
      <w:bCs/>
      <w:i/>
      <w:iCs/>
      <w:sz w:val="22"/>
      <w:szCs w:val="22"/>
    </w:rPr>
  </w:style>
  <w:style w:type="character" w:styleId="849">
    <w:name w:val="Heading 8 Char"/>
    <w:basedOn w:val="870"/>
    <w:link w:val="868"/>
    <w:uiPriority w:val="9"/>
    <w:rPr>
      <w:rFonts w:ascii="Arial" w:hAnsi="Arial" w:eastAsia="Arial" w:cs="Arial"/>
      <w:i/>
      <w:iCs/>
      <w:sz w:val="22"/>
      <w:szCs w:val="22"/>
    </w:rPr>
  </w:style>
  <w:style w:type="character" w:styleId="850">
    <w:name w:val="Heading 9 Char"/>
    <w:basedOn w:val="870"/>
    <w:link w:val="869"/>
    <w:uiPriority w:val="9"/>
    <w:rPr>
      <w:rFonts w:ascii="Arial" w:hAnsi="Arial" w:eastAsia="Arial" w:cs="Arial"/>
      <w:i/>
      <w:iCs/>
      <w:sz w:val="21"/>
      <w:szCs w:val="21"/>
    </w:rPr>
  </w:style>
  <w:style w:type="character" w:styleId="851">
    <w:name w:val="Title Char"/>
    <w:basedOn w:val="870"/>
    <w:link w:val="892"/>
    <w:uiPriority w:val="10"/>
    <w:rPr>
      <w:sz w:val="48"/>
      <w:szCs w:val="48"/>
    </w:rPr>
  </w:style>
  <w:style w:type="character" w:styleId="852">
    <w:name w:val="Subtitle Char"/>
    <w:basedOn w:val="870"/>
    <w:link w:val="885"/>
    <w:uiPriority w:val="11"/>
    <w:rPr>
      <w:sz w:val="24"/>
      <w:szCs w:val="24"/>
    </w:rPr>
  </w:style>
  <w:style w:type="character" w:styleId="853">
    <w:name w:val="Quote Char"/>
    <w:link w:val="919"/>
    <w:uiPriority w:val="29"/>
    <w:rPr>
      <w:i/>
    </w:rPr>
  </w:style>
  <w:style w:type="character" w:styleId="854">
    <w:name w:val="Intense Quote Char"/>
    <w:link w:val="921"/>
    <w:uiPriority w:val="30"/>
    <w:rPr>
      <w:i/>
    </w:rPr>
  </w:style>
  <w:style w:type="character" w:styleId="855">
    <w:name w:val="Header Char"/>
    <w:basedOn w:val="870"/>
    <w:link w:val="882"/>
    <w:uiPriority w:val="99"/>
  </w:style>
  <w:style w:type="character" w:styleId="856">
    <w:name w:val="Caption Char"/>
    <w:basedOn w:val="874"/>
    <w:link w:val="881"/>
    <w:uiPriority w:val="99"/>
  </w:style>
  <w:style w:type="character" w:styleId="857">
    <w:name w:val="Footnote Text Char"/>
    <w:link w:val="886"/>
    <w:uiPriority w:val="99"/>
    <w:rPr>
      <w:sz w:val="18"/>
    </w:rPr>
  </w:style>
  <w:style w:type="character" w:styleId="858">
    <w:name w:val="Endnote Text Char"/>
    <w:link w:val="879"/>
    <w:uiPriority w:val="99"/>
    <w:rPr>
      <w:sz w:val="20"/>
    </w:rPr>
  </w:style>
  <w:style w:type="paragraph" w:styleId="859">
    <w:name w:val="TOC Heading"/>
    <w:uiPriority w:val="39"/>
    <w:unhideWhenUsed/>
  </w:style>
  <w:style w:type="paragraph" w:styleId="860" w:default="1">
    <w:name w:val="Normal"/>
    <w:next w:val="872"/>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906"/>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907"/>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908"/>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909"/>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910"/>
    <w:uiPriority w:val="9"/>
    <w:unhideWhenUsed/>
    <w:qFormat/>
    <w:pPr>
      <w:keepLines/>
      <w:keepNext/>
      <w:spacing w:before="320" w:after="200"/>
      <w:outlineLvl w:val="4"/>
    </w:pPr>
    <w:rPr>
      <w:rFonts w:ascii="Arial" w:hAnsi="Arial" w:eastAsia="Arial" w:cs="Arial"/>
      <w:b/>
      <w:bCs/>
      <w:sz w:val="24"/>
    </w:rPr>
  </w:style>
  <w:style w:type="paragraph" w:styleId="866">
    <w:name w:val="Heading 6"/>
    <w:basedOn w:val="860"/>
    <w:next w:val="860"/>
    <w:link w:val="911"/>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13"/>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14"/>
    <w:uiPriority w:val="9"/>
    <w:unhideWhenUsed/>
    <w:qFormat/>
    <w:pPr>
      <w:keepLines/>
      <w:keepNext/>
      <w:spacing w:before="320" w:after="200"/>
      <w:outlineLvl w:val="8"/>
    </w:pPr>
    <w:rPr>
      <w:rFonts w:ascii="Arial" w:hAnsi="Arial" w:eastAsia="Arial" w:cs="Arial"/>
      <w:i/>
      <w:iCs/>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Body Text"/>
    <w:basedOn w:val="860"/>
    <w:uiPriority w:val="99"/>
    <w:qFormat/>
    <w:pPr>
      <w:spacing w:after="120"/>
    </w:pPr>
    <w:rPr>
      <w:rFonts w:ascii="Calibri" w:hAnsi="Calibri"/>
    </w:rPr>
  </w:style>
  <w:style w:type="paragraph" w:styleId="873">
    <w:name w:val="toc 7"/>
    <w:basedOn w:val="860"/>
    <w:next w:val="860"/>
    <w:uiPriority w:val="39"/>
    <w:unhideWhenUsed/>
    <w:qFormat/>
    <w:pPr>
      <w:ind w:left="1701"/>
      <w:spacing w:after="57"/>
    </w:pPr>
  </w:style>
  <w:style w:type="paragraph" w:styleId="874">
    <w:name w:val="Caption"/>
    <w:basedOn w:val="860"/>
    <w:next w:val="8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5">
    <w:name w:val="Block Text"/>
    <w:basedOn w:val="860"/>
    <w:uiPriority w:val="99"/>
    <w:unhideWhenUsed/>
    <w:qFormat/>
    <w:pPr>
      <w:ind w:left="1440" w:right="1440"/>
      <w:spacing w:after="120"/>
    </w:pPr>
  </w:style>
  <w:style w:type="paragraph" w:styleId="876">
    <w:name w:val="toc 5"/>
    <w:basedOn w:val="860"/>
    <w:next w:val="860"/>
    <w:uiPriority w:val="39"/>
    <w:unhideWhenUsed/>
    <w:qFormat/>
    <w:pPr>
      <w:ind w:left="1134"/>
      <w:spacing w:after="57"/>
    </w:pPr>
  </w:style>
  <w:style w:type="paragraph" w:styleId="877">
    <w:name w:val="toc 3"/>
    <w:basedOn w:val="860"/>
    <w:next w:val="860"/>
    <w:uiPriority w:val="39"/>
    <w:unhideWhenUsed/>
    <w:qFormat/>
    <w:pPr>
      <w:ind w:left="567"/>
      <w:spacing w:after="57"/>
    </w:pPr>
  </w:style>
  <w:style w:type="paragraph" w:styleId="878">
    <w:name w:val="toc 8"/>
    <w:basedOn w:val="860"/>
    <w:next w:val="860"/>
    <w:uiPriority w:val="39"/>
    <w:unhideWhenUsed/>
    <w:qFormat/>
    <w:pPr>
      <w:ind w:left="1984"/>
      <w:spacing w:after="57"/>
    </w:pPr>
  </w:style>
  <w:style w:type="paragraph" w:styleId="879">
    <w:name w:val="endnote text"/>
    <w:basedOn w:val="860"/>
    <w:link w:val="926"/>
    <w:uiPriority w:val="99"/>
    <w:semiHidden/>
    <w:unhideWhenUsed/>
    <w:qFormat/>
    <w:rPr>
      <w:sz w:val="20"/>
    </w:rPr>
  </w:style>
  <w:style w:type="paragraph" w:styleId="880">
    <w:name w:val="Balloon Text"/>
    <w:basedOn w:val="860"/>
    <w:link w:val="1171"/>
    <w:uiPriority w:val="99"/>
    <w:semiHidden/>
    <w:unhideWhenUsed/>
    <w:qFormat/>
    <w:rPr>
      <w:sz w:val="18"/>
      <w:szCs w:val="18"/>
    </w:rPr>
  </w:style>
  <w:style w:type="paragraph" w:styleId="881">
    <w:name w:val="Footer"/>
    <w:basedOn w:val="860"/>
    <w:link w:val="924"/>
    <w:uiPriority w:val="99"/>
    <w:unhideWhenUsed/>
    <w:qFormat/>
    <w:pPr>
      <w:tabs>
        <w:tab w:val="center" w:pos="7143" w:leader="none"/>
        <w:tab w:val="right" w:pos="14287" w:leader="none"/>
      </w:tabs>
    </w:pPr>
  </w:style>
  <w:style w:type="paragraph" w:styleId="882">
    <w:name w:val="Header"/>
    <w:basedOn w:val="860"/>
    <w:link w:val="923"/>
    <w:uiPriority w:val="99"/>
    <w:unhideWhenUsed/>
    <w:qFormat/>
    <w:pPr>
      <w:tabs>
        <w:tab w:val="center" w:pos="7143" w:leader="none"/>
        <w:tab w:val="right" w:pos="14287" w:leader="none"/>
      </w:tabs>
    </w:pPr>
  </w:style>
  <w:style w:type="paragraph" w:styleId="883">
    <w:name w:val="toc 1"/>
    <w:basedOn w:val="860"/>
    <w:next w:val="860"/>
    <w:uiPriority w:val="39"/>
    <w:unhideWhenUsed/>
    <w:qFormat/>
    <w:pPr>
      <w:spacing w:after="57"/>
    </w:pPr>
  </w:style>
  <w:style w:type="paragraph" w:styleId="884">
    <w:name w:val="toc 4"/>
    <w:basedOn w:val="860"/>
    <w:next w:val="860"/>
    <w:uiPriority w:val="39"/>
    <w:unhideWhenUsed/>
    <w:qFormat/>
    <w:pPr>
      <w:ind w:left="850"/>
      <w:spacing w:after="57"/>
    </w:pPr>
  </w:style>
  <w:style w:type="paragraph" w:styleId="885">
    <w:name w:val="Subtitle"/>
    <w:basedOn w:val="860"/>
    <w:next w:val="860"/>
    <w:link w:val="918"/>
    <w:uiPriority w:val="11"/>
    <w:qFormat/>
    <w:pPr>
      <w:spacing w:before="200" w:after="200"/>
    </w:pPr>
    <w:rPr>
      <w:sz w:val="24"/>
    </w:rPr>
  </w:style>
  <w:style w:type="paragraph" w:styleId="886">
    <w:name w:val="footnote text"/>
    <w:basedOn w:val="860"/>
    <w:link w:val="925"/>
    <w:uiPriority w:val="99"/>
    <w:semiHidden/>
    <w:unhideWhenUsed/>
    <w:qFormat/>
    <w:pPr>
      <w:spacing w:after="40"/>
    </w:pPr>
    <w:rPr>
      <w:sz w:val="18"/>
    </w:rPr>
  </w:style>
  <w:style w:type="paragraph" w:styleId="887">
    <w:name w:val="toc 6"/>
    <w:basedOn w:val="860"/>
    <w:next w:val="860"/>
    <w:uiPriority w:val="39"/>
    <w:unhideWhenUsed/>
    <w:qFormat/>
    <w:pPr>
      <w:ind w:left="1417"/>
      <w:spacing w:after="57"/>
    </w:pPr>
  </w:style>
  <w:style w:type="paragraph" w:styleId="888">
    <w:name w:val="table of figures"/>
    <w:basedOn w:val="860"/>
    <w:next w:val="860"/>
    <w:uiPriority w:val="99"/>
    <w:unhideWhenUsed/>
    <w:qFormat/>
  </w:style>
  <w:style w:type="paragraph" w:styleId="889">
    <w:name w:val="toc 2"/>
    <w:basedOn w:val="860"/>
    <w:next w:val="860"/>
    <w:uiPriority w:val="39"/>
    <w:unhideWhenUsed/>
    <w:qFormat/>
    <w:pPr>
      <w:ind w:left="283"/>
      <w:spacing w:after="57"/>
    </w:pPr>
  </w:style>
  <w:style w:type="paragraph" w:styleId="890">
    <w:name w:val="toc 9"/>
    <w:basedOn w:val="860"/>
    <w:next w:val="860"/>
    <w:uiPriority w:val="39"/>
    <w:unhideWhenUsed/>
    <w:qFormat/>
    <w:pPr>
      <w:ind w:left="2268"/>
      <w:spacing w:after="57"/>
    </w:pPr>
  </w:style>
  <w:style w:type="paragraph" w:styleId="891">
    <w:name w:val="Normal (Web)"/>
    <w:basedOn w:val="860"/>
    <w:uiPriority w:val="99"/>
    <w:semiHidden/>
    <w:unhideWhenUsed/>
    <w:qFormat/>
    <w:rPr>
      <w:sz w:val="24"/>
    </w:rPr>
  </w:style>
  <w:style w:type="paragraph" w:styleId="892">
    <w:name w:val="Title"/>
    <w:basedOn w:val="860"/>
    <w:next w:val="860"/>
    <w:link w:val="917"/>
    <w:uiPriority w:val="10"/>
    <w:qFormat/>
    <w:pPr>
      <w:contextualSpacing/>
      <w:spacing w:before="300" w:after="200"/>
    </w:pPr>
    <w:rPr>
      <w:sz w:val="48"/>
      <w:szCs w:val="48"/>
    </w:rPr>
  </w:style>
  <w:style w:type="table" w:styleId="8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endnote reference"/>
    <w:uiPriority w:val="99"/>
    <w:semiHidden/>
    <w:unhideWhenUsed/>
    <w:qFormat/>
    <w:rPr>
      <w:vertAlign w:val="superscript"/>
    </w:rPr>
  </w:style>
  <w:style w:type="character" w:styleId="895">
    <w:name w:val="Hyperlink"/>
    <w:uiPriority w:val="99"/>
    <w:unhideWhenUsed/>
    <w:qFormat/>
    <w:rPr>
      <w:color w:val="0000ff" w:themeColor="hyperlink"/>
      <w:u w:val="single"/>
      <w14:textFill>
        <w14:solidFill>
          <w14:schemeClr w14:val="hlink"/>
        </w14:solidFill>
      </w14:textFill>
    </w:rPr>
  </w:style>
  <w:style w:type="character" w:styleId="896">
    <w:name w:val="footnote reference"/>
    <w:uiPriority w:val="99"/>
    <w:unhideWhenUsed/>
    <w:qFormat/>
    <w:rPr>
      <w:vertAlign w:val="superscript"/>
    </w:rPr>
  </w:style>
  <w:style w:type="paragraph" w:styleId="897" w:customStyle="1">
    <w:name w:val="正文文本11"/>
    <w:basedOn w:val="898"/>
    <w:next w:val="860"/>
    <w:uiPriority w:val="0"/>
    <w:qFormat/>
    <w:pPr>
      <w:spacing w:after="120"/>
    </w:pPr>
  </w:style>
  <w:style w:type="paragraph" w:styleId="898" w:customStyle="1">
    <w:name w:val="正文11"/>
    <w:next w:val="899"/>
    <w:link w:val="1166"/>
    <w:uiPriority w:val="0"/>
    <w:qFormat/>
    <w:pPr>
      <w:jc w:val="both"/>
      <w:widowControl w:val="off"/>
    </w:pPr>
    <w:rPr>
      <w:rFonts w:ascii="Times New Roman" w:hAnsi="Times New Roman" w:eastAsia="宋体" w:cs="Times New Roman"/>
      <w:sz w:val="21"/>
      <w:szCs w:val="24"/>
      <w:lang w:val="en-US" w:eastAsia="zh-CN" w:bidi="ar-SA"/>
    </w:rPr>
  </w:style>
  <w:style w:type="paragraph" w:styleId="899" w:customStyle="1">
    <w:name w:val="正文首行缩进11"/>
    <w:next w:val="900"/>
    <w:uiPriority w:val="0"/>
    <w:qFormat/>
    <w:pPr>
      <w:ind w:firstLine="420"/>
      <w:jc w:val="both"/>
      <w:spacing w:after="120"/>
      <w:widowControl w:val="off"/>
    </w:pPr>
    <w:rPr>
      <w:rFonts w:ascii="仿宋_GB2312" w:hAnsi="Times New Roman" w:eastAsia="仿宋_GB2312" w:cs="Times New Roman"/>
      <w:sz w:val="30"/>
      <w:szCs w:val="30"/>
      <w:lang w:val="en-US" w:eastAsia="zh-CN" w:bidi="ar-SA"/>
    </w:rPr>
  </w:style>
  <w:style w:type="paragraph" w:styleId="900" w:customStyle="1">
    <w:name w:val="正文首行缩进 211"/>
    <w:uiPriority w:val="0"/>
    <w:qFormat/>
    <w:pPr>
      <w:ind w:firstLine="420"/>
      <w:spacing w:line="200" w:lineRule="exact"/>
    </w:pPr>
    <w:rPr>
      <w:rFonts w:ascii="Times New Roman" w:hAnsi="Times New Roman" w:eastAsia="宋体" w:cs="Times New Roman"/>
      <w:spacing w:val="-4"/>
      <w:sz w:val="18"/>
      <w:lang w:val="en-US" w:eastAsia="zh-CN" w:bidi="ar-SA"/>
    </w:rPr>
  </w:style>
  <w:style w:type="paragraph" w:styleId="901" w:customStyle="1">
    <w:name w:val="文本块1"/>
    <w:basedOn w:val="902"/>
    <w:next w:val="904"/>
    <w:uiPriority w:val="99"/>
    <w:unhideWhenUsed/>
    <w:qFormat/>
    <w:pPr>
      <w:ind w:left="567" w:right="454" w:firstLine="498"/>
    </w:pPr>
    <w:rPr>
      <w:rFonts w:ascii="仿宋_GB2312" w:eastAsia="仿宋_GB2312"/>
      <w:sz w:val="30"/>
    </w:rPr>
  </w:style>
  <w:style w:type="paragraph" w:styleId="902" w:customStyle="1">
    <w:name w:val="正文12"/>
    <w:next w:val="903"/>
    <w:uiPriority w:val="0"/>
    <w:qFormat/>
    <w:rPr>
      <w:rFonts w:ascii="Times New Roman" w:hAnsi="Times New Roman" w:eastAsia="宋体" w:cs="Times New Roman"/>
      <w:lang w:val="en-US" w:eastAsia="zh-CN" w:bidi="ar-SA"/>
    </w:rPr>
  </w:style>
  <w:style w:type="paragraph" w:styleId="903" w:customStyle="1">
    <w:name w:val="标题1"/>
    <w:basedOn w:val="860"/>
    <w:next w:val="860"/>
    <w:link w:val="945"/>
    <w:uiPriority w:val="10"/>
    <w:qFormat/>
    <w:pPr>
      <w:contextualSpacing/>
      <w:spacing w:before="300" w:after="200"/>
    </w:pPr>
    <w:rPr>
      <w:sz w:val="48"/>
      <w:szCs w:val="48"/>
    </w:rPr>
  </w:style>
  <w:style w:type="paragraph" w:styleId="904" w:customStyle="1">
    <w:name w:val="标题 41"/>
    <w:basedOn w:val="898"/>
    <w:next w:val="898"/>
    <w:uiPriority w:val="0"/>
    <w:qFormat/>
    <w:pPr>
      <w:keepLines/>
      <w:keepNext/>
      <w:spacing w:before="280" w:after="290" w:line="372" w:lineRule="auto"/>
      <w:outlineLvl w:val="3"/>
    </w:pPr>
    <w:rPr>
      <w:rFonts w:ascii="Cambria" w:hAnsi="Cambria"/>
      <w:b/>
      <w:bCs/>
      <w:sz w:val="28"/>
      <w:szCs w:val="28"/>
    </w:rPr>
  </w:style>
  <w:style w:type="paragraph" w:styleId="905" w:customStyle="1">
    <w:name w:val="正文缩进1"/>
    <w:basedOn w:val="860"/>
    <w:uiPriority w:val="0"/>
    <w:qFormat/>
    <w:pPr>
      <w:ind w:firstLine="420"/>
    </w:pPr>
  </w:style>
  <w:style w:type="character" w:styleId="906" w:customStyle="1">
    <w:name w:val="标题 1 Char1"/>
    <w:link w:val="861"/>
    <w:uiPriority w:val="9"/>
    <w:qFormat/>
    <w:rPr>
      <w:rFonts w:ascii="Arial" w:hAnsi="Arial" w:eastAsia="Arial" w:cs="Arial"/>
      <w:sz w:val="40"/>
      <w:szCs w:val="40"/>
    </w:rPr>
  </w:style>
  <w:style w:type="character" w:styleId="907" w:customStyle="1">
    <w:name w:val="标题 2 Char2"/>
    <w:link w:val="862"/>
    <w:uiPriority w:val="9"/>
    <w:qFormat/>
    <w:rPr>
      <w:rFonts w:ascii="Arial" w:hAnsi="Arial" w:eastAsia="Arial" w:cs="Arial"/>
      <w:sz w:val="34"/>
    </w:rPr>
  </w:style>
  <w:style w:type="character" w:styleId="908" w:customStyle="1">
    <w:name w:val="标题 3 Char1"/>
    <w:link w:val="863"/>
    <w:uiPriority w:val="9"/>
    <w:qFormat/>
    <w:rPr>
      <w:rFonts w:ascii="Arial" w:hAnsi="Arial" w:eastAsia="Arial" w:cs="Arial"/>
      <w:sz w:val="30"/>
      <w:szCs w:val="30"/>
    </w:rPr>
  </w:style>
  <w:style w:type="character" w:styleId="909" w:customStyle="1">
    <w:name w:val="标题 4 Char1"/>
    <w:link w:val="864"/>
    <w:uiPriority w:val="9"/>
    <w:qFormat/>
    <w:rPr>
      <w:rFonts w:ascii="Arial" w:hAnsi="Arial" w:eastAsia="Arial" w:cs="Arial"/>
      <w:b/>
      <w:bCs/>
      <w:sz w:val="26"/>
      <w:szCs w:val="26"/>
    </w:rPr>
  </w:style>
  <w:style w:type="character" w:styleId="910" w:customStyle="1">
    <w:name w:val="标题 5 Char1"/>
    <w:link w:val="865"/>
    <w:uiPriority w:val="9"/>
    <w:qFormat/>
    <w:rPr>
      <w:rFonts w:ascii="Arial" w:hAnsi="Arial" w:eastAsia="Arial" w:cs="Arial"/>
      <w:b/>
      <w:bCs/>
      <w:sz w:val="24"/>
      <w:szCs w:val="24"/>
    </w:rPr>
  </w:style>
  <w:style w:type="character" w:styleId="911" w:customStyle="1">
    <w:name w:val="标题 6 Char1"/>
    <w:link w:val="866"/>
    <w:uiPriority w:val="9"/>
    <w:qFormat/>
    <w:rPr>
      <w:rFonts w:ascii="Arial" w:hAnsi="Arial" w:eastAsia="Arial" w:cs="Arial"/>
      <w:b/>
      <w:bCs/>
      <w:sz w:val="22"/>
      <w:szCs w:val="22"/>
    </w:rPr>
  </w:style>
  <w:style w:type="character" w:styleId="912" w:customStyle="1">
    <w:name w:val="标题 7 Char1"/>
    <w:link w:val="867"/>
    <w:uiPriority w:val="9"/>
    <w:qFormat/>
    <w:rPr>
      <w:rFonts w:ascii="Arial" w:hAnsi="Arial" w:eastAsia="Arial" w:cs="Arial"/>
      <w:b/>
      <w:bCs/>
      <w:i/>
      <w:iCs/>
      <w:sz w:val="22"/>
      <w:szCs w:val="22"/>
    </w:rPr>
  </w:style>
  <w:style w:type="character" w:styleId="913" w:customStyle="1">
    <w:name w:val="标题 8 Char1"/>
    <w:link w:val="868"/>
    <w:uiPriority w:val="9"/>
    <w:qFormat/>
    <w:rPr>
      <w:rFonts w:ascii="Arial" w:hAnsi="Arial" w:eastAsia="Arial" w:cs="Arial"/>
      <w:i/>
      <w:iCs/>
      <w:sz w:val="22"/>
      <w:szCs w:val="22"/>
    </w:rPr>
  </w:style>
  <w:style w:type="character" w:styleId="914" w:customStyle="1">
    <w:name w:val="标题 9 Char1"/>
    <w:link w:val="869"/>
    <w:uiPriority w:val="9"/>
    <w:qFormat/>
    <w:rPr>
      <w:rFonts w:ascii="Arial" w:hAnsi="Arial" w:eastAsia="Arial" w:cs="Arial"/>
      <w:i/>
      <w:iCs/>
      <w:sz w:val="21"/>
      <w:szCs w:val="21"/>
    </w:rPr>
  </w:style>
  <w:style w:type="paragraph" w:styleId="915">
    <w:name w:val="List Paragraph"/>
    <w:basedOn w:val="860"/>
    <w:uiPriority w:val="34"/>
    <w:qFormat/>
    <w:pPr>
      <w:contextualSpacing/>
      <w:ind w:left="720"/>
    </w:pPr>
  </w:style>
  <w:style w:type="paragraph" w:styleId="916">
    <w:name w:val="No Spacing"/>
    <w:uiPriority w:val="1"/>
    <w:qFormat/>
    <w:rPr>
      <w:rFonts w:ascii="Times New Roman" w:hAnsi="Times New Roman" w:eastAsia="宋体" w:cs="Times New Roman"/>
      <w:lang w:val="en-US" w:eastAsia="zh-CN" w:bidi="ar-SA"/>
    </w:rPr>
  </w:style>
  <w:style w:type="character" w:styleId="917" w:customStyle="1">
    <w:name w:val="标题 Char1"/>
    <w:link w:val="892"/>
    <w:uiPriority w:val="10"/>
    <w:qFormat/>
    <w:rPr>
      <w:sz w:val="48"/>
      <w:szCs w:val="48"/>
    </w:rPr>
  </w:style>
  <w:style w:type="character" w:styleId="918" w:customStyle="1">
    <w:name w:val="副标题 Char1"/>
    <w:link w:val="885"/>
    <w:uiPriority w:val="11"/>
    <w:qFormat/>
    <w:rPr>
      <w:sz w:val="24"/>
      <w:szCs w:val="24"/>
    </w:rPr>
  </w:style>
  <w:style w:type="paragraph" w:styleId="919">
    <w:name w:val="Quote"/>
    <w:basedOn w:val="860"/>
    <w:next w:val="860"/>
    <w:link w:val="920"/>
    <w:uiPriority w:val="29"/>
    <w:qFormat/>
    <w:pPr>
      <w:ind w:left="720" w:right="720"/>
    </w:pPr>
    <w:rPr>
      <w:i/>
    </w:rPr>
  </w:style>
  <w:style w:type="character" w:styleId="920" w:customStyle="1">
    <w:name w:val="引用 Char1"/>
    <w:link w:val="919"/>
    <w:uiPriority w:val="29"/>
    <w:qFormat/>
    <w:rPr>
      <w:i/>
    </w:rPr>
  </w:style>
  <w:style w:type="paragraph" w:styleId="921">
    <w:name w:val="Intense Quote"/>
    <w:basedOn w:val="860"/>
    <w:next w:val="860"/>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Char1"/>
    <w:link w:val="921"/>
    <w:uiPriority w:val="30"/>
    <w:qFormat/>
    <w:rPr>
      <w:i/>
    </w:rPr>
  </w:style>
  <w:style w:type="character" w:styleId="923" w:customStyle="1">
    <w:name w:val="页眉 Char1"/>
    <w:link w:val="882"/>
    <w:uiPriority w:val="99"/>
    <w:qFormat/>
  </w:style>
  <w:style w:type="character" w:styleId="924" w:customStyle="1">
    <w:name w:val="页脚 Char1"/>
    <w:link w:val="881"/>
    <w:uiPriority w:val="99"/>
    <w:qFormat/>
  </w:style>
  <w:style w:type="character" w:styleId="925" w:customStyle="1">
    <w:name w:val="脚注文本 Char1"/>
    <w:link w:val="886"/>
    <w:uiPriority w:val="99"/>
    <w:qFormat/>
    <w:rPr>
      <w:sz w:val="18"/>
    </w:rPr>
  </w:style>
  <w:style w:type="character" w:styleId="926" w:customStyle="1">
    <w:name w:val="尾注文本 Char1"/>
    <w:link w:val="879"/>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paragraph" w:styleId="928" w:customStyle="1">
    <w:name w:val="标题 111"/>
    <w:basedOn w:val="860"/>
    <w:next w:val="860"/>
    <w:link w:val="946"/>
    <w:uiPriority w:val="9"/>
    <w:qFormat/>
    <w:pPr>
      <w:keepLines/>
      <w:keepNext/>
      <w:spacing w:before="480" w:after="200"/>
      <w:outlineLvl w:val="0"/>
    </w:pPr>
    <w:rPr>
      <w:rFonts w:ascii="Arial" w:hAnsi="Arial" w:eastAsia="Arial" w:cs="Arial"/>
      <w:sz w:val="40"/>
      <w:szCs w:val="40"/>
    </w:rPr>
  </w:style>
  <w:style w:type="paragraph" w:styleId="929" w:customStyle="1">
    <w:name w:val="标题 211"/>
    <w:basedOn w:val="860"/>
    <w:next w:val="860"/>
    <w:link w:val="947"/>
    <w:uiPriority w:val="9"/>
    <w:qFormat/>
    <w:pPr>
      <w:keepLines/>
      <w:keepNext/>
      <w:spacing w:before="360" w:after="200"/>
      <w:outlineLvl w:val="1"/>
    </w:pPr>
    <w:rPr>
      <w:rFonts w:ascii="Arial" w:hAnsi="Arial" w:eastAsia="Arial" w:cs="Arial"/>
      <w:sz w:val="34"/>
    </w:rPr>
  </w:style>
  <w:style w:type="paragraph" w:styleId="930" w:customStyle="1">
    <w:name w:val="标题 311"/>
    <w:basedOn w:val="860"/>
    <w:next w:val="860"/>
    <w:link w:val="948"/>
    <w:uiPriority w:val="9"/>
    <w:qFormat/>
    <w:pPr>
      <w:keepLines/>
      <w:keepNext/>
      <w:spacing w:before="320" w:after="200"/>
      <w:outlineLvl w:val="2"/>
    </w:pPr>
    <w:rPr>
      <w:rFonts w:ascii="Arial" w:hAnsi="Arial" w:eastAsia="Arial" w:cs="Arial"/>
      <w:sz w:val="30"/>
      <w:szCs w:val="30"/>
    </w:rPr>
  </w:style>
  <w:style w:type="paragraph" w:styleId="931" w:customStyle="1">
    <w:name w:val="标题 411"/>
    <w:basedOn w:val="860"/>
    <w:next w:val="860"/>
    <w:link w:val="949"/>
    <w:uiPriority w:val="9"/>
    <w:qFormat/>
    <w:pPr>
      <w:keepLines/>
      <w:keepNext/>
      <w:spacing w:before="320" w:after="200"/>
      <w:outlineLvl w:val="3"/>
    </w:pPr>
    <w:rPr>
      <w:rFonts w:ascii="Arial" w:hAnsi="Arial" w:eastAsia="Arial" w:cs="Arial"/>
      <w:b/>
      <w:bCs/>
      <w:sz w:val="26"/>
      <w:szCs w:val="26"/>
    </w:rPr>
  </w:style>
  <w:style w:type="paragraph" w:styleId="932" w:customStyle="1">
    <w:name w:val="标题 51"/>
    <w:basedOn w:val="860"/>
    <w:next w:val="860"/>
    <w:link w:val="950"/>
    <w:uiPriority w:val="9"/>
    <w:qFormat/>
    <w:pPr>
      <w:keepLines/>
      <w:keepNext/>
      <w:spacing w:before="320" w:after="200"/>
      <w:outlineLvl w:val="4"/>
    </w:pPr>
    <w:rPr>
      <w:rFonts w:ascii="Arial" w:hAnsi="Arial" w:eastAsia="Arial" w:cs="Arial"/>
      <w:b/>
      <w:bCs/>
      <w:sz w:val="24"/>
    </w:rPr>
  </w:style>
  <w:style w:type="paragraph" w:styleId="933" w:customStyle="1">
    <w:name w:val="标题 61"/>
    <w:basedOn w:val="860"/>
    <w:next w:val="860"/>
    <w:link w:val="952"/>
    <w:uiPriority w:val="9"/>
    <w:qFormat/>
    <w:pPr>
      <w:keepLines/>
      <w:keepNext/>
      <w:spacing w:before="320" w:after="200"/>
      <w:outlineLvl w:val="5"/>
    </w:pPr>
    <w:rPr>
      <w:rFonts w:ascii="Arial" w:hAnsi="Arial" w:eastAsia="Arial" w:cs="Arial"/>
      <w:b/>
      <w:bCs/>
      <w:sz w:val="22"/>
      <w:szCs w:val="22"/>
    </w:rPr>
  </w:style>
  <w:style w:type="paragraph" w:styleId="934" w:customStyle="1">
    <w:name w:val="标题 71"/>
    <w:basedOn w:val="860"/>
    <w:next w:val="860"/>
    <w:link w:val="953"/>
    <w:uiPriority w:val="9"/>
    <w:qFormat/>
    <w:pPr>
      <w:keepLines/>
      <w:keepNext/>
      <w:spacing w:before="320" w:after="200"/>
      <w:outlineLvl w:val="6"/>
    </w:pPr>
    <w:rPr>
      <w:rFonts w:ascii="Arial" w:hAnsi="Arial" w:eastAsia="Arial" w:cs="Arial"/>
      <w:b/>
      <w:bCs/>
      <w:i/>
      <w:iCs/>
      <w:sz w:val="22"/>
      <w:szCs w:val="22"/>
    </w:rPr>
  </w:style>
  <w:style w:type="paragraph" w:styleId="935" w:customStyle="1">
    <w:name w:val="标题 81"/>
    <w:basedOn w:val="860"/>
    <w:next w:val="860"/>
    <w:link w:val="954"/>
    <w:uiPriority w:val="9"/>
    <w:qFormat/>
    <w:pPr>
      <w:keepLines/>
      <w:keepNext/>
      <w:spacing w:before="320" w:after="200"/>
      <w:outlineLvl w:val="7"/>
    </w:pPr>
    <w:rPr>
      <w:rFonts w:ascii="Arial" w:hAnsi="Arial" w:eastAsia="Arial" w:cs="Arial"/>
      <w:i/>
      <w:iCs/>
      <w:sz w:val="22"/>
      <w:szCs w:val="22"/>
    </w:rPr>
  </w:style>
  <w:style w:type="paragraph" w:styleId="936" w:customStyle="1">
    <w:name w:val="标题 91"/>
    <w:basedOn w:val="860"/>
    <w:next w:val="860"/>
    <w:link w:val="955"/>
    <w:uiPriority w:val="9"/>
    <w:qFormat/>
    <w:pPr>
      <w:keepLines/>
      <w:keepNext/>
      <w:spacing w:before="320" w:after="200"/>
      <w:outlineLvl w:val="8"/>
    </w:pPr>
    <w:rPr>
      <w:rFonts w:ascii="Arial" w:hAnsi="Arial" w:eastAsia="Arial" w:cs="Arial"/>
      <w:i/>
      <w:iCs/>
      <w:szCs w:val="21"/>
    </w:rPr>
  </w:style>
  <w:style w:type="character" w:styleId="937" w:customStyle="1">
    <w:name w:val="默认段落字体11"/>
    <w:uiPriority w:val="1"/>
    <w:unhideWhenUsed/>
    <w:qFormat/>
  </w:style>
  <w:style w:type="table" w:styleId="938" w:customStyle="1">
    <w:name w:val="普通表格11"/>
    <w:uiPriority w:val="99"/>
    <w:unhideWhenUsed/>
    <w:qFormat/>
    <w:tblPr>
      <w:tblCellMar>
        <w:left w:w="0" w:type="dxa"/>
        <w:top w:w="0" w:type="dxa"/>
        <w:right w:w="0" w:type="dxa"/>
        <w:bottom w:w="0" w:type="dxa"/>
      </w:tblCellMar>
    </w:tblPr>
  </w:style>
  <w:style w:type="character" w:styleId="939" w:customStyle="1">
    <w:name w:val="超链接11"/>
    <w:uiPriority w:val="99"/>
    <w:unhideWhenUsed/>
    <w:qFormat/>
    <w:rPr>
      <w:color w:val="0000ff"/>
      <w:u w:val="single"/>
    </w:rPr>
  </w:style>
  <w:style w:type="character" w:styleId="940" w:customStyle="1">
    <w:name w:val="脚注引用1"/>
    <w:uiPriority w:val="99"/>
    <w:unhideWhenUsed/>
    <w:qFormat/>
    <w:rPr>
      <w:vertAlign w:val="superscript"/>
    </w:rPr>
  </w:style>
  <w:style w:type="character" w:styleId="941" w:customStyle="1">
    <w:name w:val="页码11"/>
    <w:uiPriority w:val="0"/>
    <w:qFormat/>
  </w:style>
  <w:style w:type="character" w:styleId="942" w:customStyle="1">
    <w:name w:val="尾注引用1"/>
    <w:uiPriority w:val="99"/>
    <w:unhideWhenUsed/>
    <w:qFormat/>
    <w:rPr>
      <w:vertAlign w:val="superscript"/>
    </w:rPr>
  </w:style>
  <w:style w:type="character" w:styleId="943" w:customStyle="1">
    <w:name w:val="批注框文本 Char"/>
    <w:link w:val="944"/>
    <w:uiPriority w:val="0"/>
    <w:qFormat/>
    <w:rPr>
      <w:sz w:val="18"/>
      <w:szCs w:val="18"/>
    </w:rPr>
  </w:style>
  <w:style w:type="paragraph" w:styleId="944" w:customStyle="1">
    <w:name w:val="批注框文本1"/>
    <w:basedOn w:val="860"/>
    <w:link w:val="943"/>
    <w:uiPriority w:val="0"/>
    <w:qFormat/>
    <w:rPr>
      <w:sz w:val="18"/>
      <w:szCs w:val="18"/>
    </w:rPr>
  </w:style>
  <w:style w:type="character" w:styleId="945" w:customStyle="1">
    <w:name w:val="标题 Char"/>
    <w:link w:val="903"/>
    <w:uiPriority w:val="10"/>
    <w:qFormat/>
    <w:rPr>
      <w:sz w:val="48"/>
      <w:szCs w:val="48"/>
    </w:rPr>
  </w:style>
  <w:style w:type="character" w:styleId="946" w:customStyle="1">
    <w:name w:val="标题 1 Char"/>
    <w:link w:val="928"/>
    <w:uiPriority w:val="9"/>
    <w:qFormat/>
    <w:rPr>
      <w:rFonts w:ascii="Arial" w:hAnsi="Arial" w:eastAsia="Arial" w:cs="Arial"/>
      <w:sz w:val="40"/>
      <w:szCs w:val="40"/>
    </w:rPr>
  </w:style>
  <w:style w:type="character" w:styleId="947" w:customStyle="1">
    <w:name w:val="标题 2 Char1"/>
    <w:link w:val="929"/>
    <w:uiPriority w:val="9"/>
    <w:qFormat/>
    <w:rPr>
      <w:rFonts w:ascii="Arial" w:hAnsi="Arial" w:eastAsia="Arial" w:cs="Arial"/>
      <w:sz w:val="34"/>
    </w:rPr>
  </w:style>
  <w:style w:type="character" w:styleId="948" w:customStyle="1">
    <w:name w:val="标题 3 Char"/>
    <w:link w:val="930"/>
    <w:uiPriority w:val="9"/>
    <w:qFormat/>
    <w:rPr>
      <w:rFonts w:ascii="Arial" w:hAnsi="Arial" w:eastAsia="Arial" w:cs="Arial"/>
      <w:sz w:val="30"/>
      <w:szCs w:val="30"/>
    </w:rPr>
  </w:style>
  <w:style w:type="character" w:styleId="949" w:customStyle="1">
    <w:name w:val="标题 4 Char"/>
    <w:link w:val="931"/>
    <w:uiPriority w:val="9"/>
    <w:qFormat/>
    <w:rPr>
      <w:rFonts w:ascii="Arial" w:hAnsi="Arial" w:eastAsia="Arial" w:cs="Arial"/>
      <w:b/>
      <w:bCs/>
      <w:sz w:val="26"/>
      <w:szCs w:val="26"/>
    </w:rPr>
  </w:style>
  <w:style w:type="character" w:styleId="950" w:customStyle="1">
    <w:name w:val="标题 5 Char"/>
    <w:link w:val="932"/>
    <w:uiPriority w:val="9"/>
    <w:qFormat/>
    <w:rPr>
      <w:rFonts w:ascii="Arial" w:hAnsi="Arial" w:eastAsia="Arial" w:cs="Arial"/>
      <w:b/>
      <w:bCs/>
      <w:sz w:val="24"/>
      <w:szCs w:val="24"/>
    </w:rPr>
  </w:style>
  <w:style w:type="character" w:styleId="951" w:customStyle="1">
    <w:name w:val="NormalCharacter1"/>
    <w:uiPriority w:val="0"/>
    <w:semiHidden/>
    <w:qFormat/>
  </w:style>
  <w:style w:type="character" w:styleId="952" w:customStyle="1">
    <w:name w:val="标题 6 Char"/>
    <w:link w:val="933"/>
    <w:uiPriority w:val="9"/>
    <w:qFormat/>
    <w:rPr>
      <w:rFonts w:ascii="Arial" w:hAnsi="Arial" w:eastAsia="Arial" w:cs="Arial"/>
      <w:b/>
      <w:bCs/>
      <w:sz w:val="22"/>
      <w:szCs w:val="22"/>
    </w:rPr>
  </w:style>
  <w:style w:type="character" w:styleId="953" w:customStyle="1">
    <w:name w:val="标题 7 Char"/>
    <w:link w:val="934"/>
    <w:uiPriority w:val="9"/>
    <w:qFormat/>
    <w:rPr>
      <w:rFonts w:ascii="Arial" w:hAnsi="Arial" w:eastAsia="Arial" w:cs="Arial"/>
      <w:b/>
      <w:bCs/>
      <w:i/>
      <w:iCs/>
      <w:sz w:val="22"/>
      <w:szCs w:val="22"/>
    </w:rPr>
  </w:style>
  <w:style w:type="character" w:styleId="954" w:customStyle="1">
    <w:name w:val="标题 8 Char"/>
    <w:link w:val="935"/>
    <w:uiPriority w:val="9"/>
    <w:qFormat/>
    <w:rPr>
      <w:rFonts w:ascii="Arial" w:hAnsi="Arial" w:eastAsia="Arial" w:cs="Arial"/>
      <w:i/>
      <w:iCs/>
      <w:sz w:val="22"/>
      <w:szCs w:val="22"/>
    </w:rPr>
  </w:style>
  <w:style w:type="character" w:styleId="955" w:customStyle="1">
    <w:name w:val="标题 9 Char"/>
    <w:link w:val="936"/>
    <w:uiPriority w:val="9"/>
    <w:qFormat/>
    <w:rPr>
      <w:rFonts w:ascii="Arial" w:hAnsi="Arial" w:eastAsia="Arial" w:cs="Arial"/>
      <w:i/>
      <w:iCs/>
      <w:sz w:val="21"/>
      <w:szCs w:val="21"/>
    </w:rPr>
  </w:style>
  <w:style w:type="character" w:styleId="956" w:customStyle="1">
    <w:name w:val="尾注文本 Char"/>
    <w:link w:val="957"/>
    <w:uiPriority w:val="99"/>
    <w:qFormat/>
    <w:rPr>
      <w:sz w:val="20"/>
    </w:rPr>
  </w:style>
  <w:style w:type="paragraph" w:styleId="957" w:customStyle="1">
    <w:name w:val="尾注文本1"/>
    <w:basedOn w:val="860"/>
    <w:link w:val="956"/>
    <w:uiPriority w:val="99"/>
    <w:unhideWhenUsed/>
    <w:qFormat/>
    <w:rPr>
      <w:sz w:val="20"/>
    </w:rPr>
  </w:style>
  <w:style w:type="character" w:styleId="958" w:customStyle="1">
    <w:name w:val="批注框文本 Char1"/>
    <w:link w:val="959"/>
    <w:uiPriority w:val="99"/>
    <w:semiHidden/>
    <w:qFormat/>
    <w:rPr>
      <w:sz w:val="18"/>
      <w:szCs w:val="18"/>
    </w:rPr>
  </w:style>
  <w:style w:type="paragraph" w:styleId="959" w:customStyle="1">
    <w:name w:val="批注框文本11"/>
    <w:basedOn w:val="860"/>
    <w:link w:val="958"/>
    <w:uiPriority w:val="99"/>
    <w:unhideWhenUsed/>
    <w:qFormat/>
    <w:rPr>
      <w:sz w:val="18"/>
      <w:szCs w:val="18"/>
    </w:rPr>
  </w:style>
  <w:style w:type="character" w:styleId="960" w:customStyle="1">
    <w:name w:val="页脚 Char"/>
    <w:link w:val="961"/>
    <w:uiPriority w:val="99"/>
    <w:qFormat/>
  </w:style>
  <w:style w:type="paragraph" w:styleId="961" w:customStyle="1">
    <w:name w:val="页脚11"/>
    <w:basedOn w:val="860"/>
    <w:link w:val="960"/>
    <w:uiPriority w:val="99"/>
    <w:unhideWhenUsed/>
    <w:qFormat/>
    <w:pPr>
      <w:tabs>
        <w:tab w:val="center" w:pos="7143" w:leader="none"/>
        <w:tab w:val="right" w:pos="14287" w:leader="none"/>
      </w:tabs>
    </w:pPr>
  </w:style>
  <w:style w:type="character" w:styleId="962" w:customStyle="1">
    <w:name w:val="页眉 Char"/>
    <w:link w:val="963"/>
    <w:uiPriority w:val="99"/>
    <w:qFormat/>
  </w:style>
  <w:style w:type="paragraph" w:styleId="963" w:customStyle="1">
    <w:name w:val="页眉11"/>
    <w:basedOn w:val="860"/>
    <w:link w:val="962"/>
    <w:uiPriority w:val="99"/>
    <w:unhideWhenUsed/>
    <w:qFormat/>
    <w:pPr>
      <w:tabs>
        <w:tab w:val="center" w:pos="7143" w:leader="none"/>
        <w:tab w:val="right" w:pos="14287" w:leader="none"/>
      </w:tabs>
    </w:pPr>
  </w:style>
  <w:style w:type="character" w:styleId="964" w:customStyle="1">
    <w:name w:val="副标题 Char"/>
    <w:link w:val="965"/>
    <w:uiPriority w:val="11"/>
    <w:qFormat/>
    <w:rPr>
      <w:sz w:val="24"/>
      <w:szCs w:val="24"/>
    </w:rPr>
  </w:style>
  <w:style w:type="paragraph" w:styleId="965" w:customStyle="1">
    <w:name w:val="副标题1"/>
    <w:basedOn w:val="860"/>
    <w:next w:val="860"/>
    <w:link w:val="964"/>
    <w:uiPriority w:val="11"/>
    <w:qFormat/>
    <w:pPr>
      <w:spacing w:before="200" w:after="200"/>
    </w:pPr>
    <w:rPr>
      <w:sz w:val="24"/>
    </w:rPr>
  </w:style>
  <w:style w:type="character" w:styleId="966" w:customStyle="1">
    <w:name w:val="脚注文本 Char"/>
    <w:link w:val="967"/>
    <w:uiPriority w:val="99"/>
    <w:qFormat/>
    <w:rPr>
      <w:sz w:val="18"/>
    </w:rPr>
  </w:style>
  <w:style w:type="paragraph" w:styleId="967" w:customStyle="1">
    <w:name w:val="脚注文本1"/>
    <w:basedOn w:val="860"/>
    <w:next w:val="968"/>
    <w:link w:val="966"/>
    <w:uiPriority w:val="99"/>
    <w:unhideWhenUsed/>
    <w:qFormat/>
    <w:pPr>
      <w:spacing w:after="40"/>
    </w:pPr>
    <w:rPr>
      <w:sz w:val="18"/>
    </w:rPr>
  </w:style>
  <w:style w:type="paragraph" w:styleId="968" w:customStyle="1">
    <w:name w:val="索引 51"/>
    <w:next w:val="969"/>
    <w:uiPriority w:val="0"/>
    <w:qFormat/>
    <w:pPr>
      <w:ind w:left="798"/>
      <w:widowControl w:val="off"/>
    </w:pPr>
    <w:rPr>
      <w:rFonts w:ascii="Calibri" w:hAnsi="Calibri" w:eastAsia="宋体" w:cs="Times New Roman"/>
      <w:sz w:val="21"/>
      <w:szCs w:val="24"/>
      <w:lang w:val="en-US" w:eastAsia="zh-CN" w:bidi="ar-SA"/>
    </w:rPr>
  </w:style>
  <w:style w:type="paragraph" w:styleId="969" w:customStyle="1">
    <w:name w:val="正文1"/>
    <w:next w:val="970"/>
    <w:link w:val="993"/>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目录 11"/>
    <w:basedOn w:val="860"/>
    <w:next w:val="902"/>
    <w:uiPriority w:val="39"/>
    <w:unhideWhenUsed/>
    <w:qFormat/>
    <w:pPr>
      <w:spacing w:after="57"/>
    </w:pPr>
  </w:style>
  <w:style w:type="character" w:styleId="971" w:customStyle="1">
    <w:name w:val="引用 Char"/>
    <w:link w:val="972"/>
    <w:uiPriority w:val="29"/>
    <w:qFormat/>
    <w:rPr>
      <w:i/>
    </w:rPr>
  </w:style>
  <w:style w:type="paragraph" w:styleId="972" w:customStyle="1">
    <w:name w:val="引用1"/>
    <w:basedOn w:val="860"/>
    <w:next w:val="860"/>
    <w:link w:val="971"/>
    <w:uiPriority w:val="29"/>
    <w:qFormat/>
    <w:pPr>
      <w:ind w:left="720" w:right="720"/>
    </w:pPr>
    <w:rPr>
      <w:i/>
    </w:rPr>
  </w:style>
  <w:style w:type="character" w:styleId="973" w:customStyle="1">
    <w:name w:val="正文文本缩进 Char"/>
    <w:link w:val="974"/>
    <w:uiPriority w:val="0"/>
    <w:qFormat/>
    <w:rPr>
      <w:sz w:val="21"/>
      <w:szCs w:val="24"/>
    </w:rPr>
  </w:style>
  <w:style w:type="paragraph" w:styleId="974" w:customStyle="1">
    <w:name w:val="正文文本缩进1"/>
    <w:basedOn w:val="860"/>
    <w:next w:val="975"/>
    <w:link w:val="973"/>
    <w:uiPriority w:val="0"/>
    <w:qFormat/>
    <w:pPr>
      <w:ind w:left="420"/>
      <w:spacing w:after="120"/>
    </w:pPr>
  </w:style>
  <w:style w:type="paragraph" w:styleId="975" w:customStyle="1">
    <w:name w:val="寄信人地址1"/>
    <w:basedOn w:val="860"/>
    <w:uiPriority w:val="0"/>
    <w:qFormat/>
    <w:rPr>
      <w:rFonts w:ascii="Arial" w:hAnsi="Arial"/>
    </w:rPr>
  </w:style>
  <w:style w:type="character" w:styleId="976" w:customStyle="1">
    <w:name w:val="默认段落字体1"/>
    <w:uiPriority w:val="0"/>
    <w:semiHidden/>
    <w:qFormat/>
  </w:style>
  <w:style w:type="character" w:styleId="977" w:customStyle="1">
    <w:name w:val="NormalCharacter11"/>
    <w:uiPriority w:val="0"/>
    <w:semiHidden/>
    <w:qFormat/>
    <w:rPr>
      <w:sz w:val="21"/>
      <w:szCs w:val="24"/>
      <w:lang w:val="en-US" w:eastAsia="zh-CN" w:bidi="ar-SA"/>
    </w:rPr>
  </w:style>
  <w:style w:type="character" w:styleId="978" w:customStyle="1">
    <w:name w:val="明显引用 Char"/>
    <w:link w:val="979"/>
    <w:uiPriority w:val="30"/>
    <w:qFormat/>
    <w:rPr>
      <w:i/>
    </w:rPr>
  </w:style>
  <w:style w:type="paragraph" w:styleId="979" w:customStyle="1">
    <w:name w:val="明显引用1"/>
    <w:basedOn w:val="860"/>
    <w:next w:val="860"/>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Footer Char"/>
    <w:uiPriority w:val="99"/>
    <w:qFormat/>
  </w:style>
  <w:style w:type="character" w:styleId="981" w:customStyle="1">
    <w:name w:val="font11"/>
    <w:uiPriority w:val="0"/>
    <w:qFormat/>
    <w:rPr>
      <w:rFonts w:hint="eastAsia" w:ascii="宋体" w:hAnsi="宋体" w:eastAsia="宋体" w:cs="宋体"/>
      <w:b/>
      <w:color w:val="000000"/>
      <w:sz w:val="32"/>
      <w:szCs w:val="32"/>
      <w:u w:val="none"/>
    </w:rPr>
  </w:style>
  <w:style w:type="character" w:styleId="982" w:customStyle="1">
    <w:name w:val="纯文本 Char"/>
    <w:link w:val="983"/>
    <w:uiPriority w:val="0"/>
    <w:qFormat/>
    <w:rPr>
      <w:rFonts w:ascii="宋体" w:hAnsi="Courier New" w:eastAsia="宋体"/>
      <w:sz w:val="21"/>
      <w:szCs w:val="21"/>
      <w:lang w:bidi="ar-SA"/>
    </w:rPr>
  </w:style>
  <w:style w:type="paragraph" w:styleId="983" w:customStyle="1">
    <w:name w:val="纯文本1"/>
    <w:basedOn w:val="860"/>
    <w:link w:val="982"/>
    <w:uiPriority w:val="0"/>
    <w:qFormat/>
    <w:rPr>
      <w:rFonts w:ascii="宋体" w:hAnsi="Courier New"/>
      <w:szCs w:val="21"/>
    </w:rPr>
  </w:style>
  <w:style w:type="character" w:styleId="984" w:customStyle="1">
    <w:name w:val="普通(网站) Char"/>
    <w:link w:val="985"/>
    <w:uiPriority w:val="99"/>
    <w:qFormat/>
    <w:rPr>
      <w:rFonts w:ascii="宋体" w:hAnsi="宋体" w:cs="宋体"/>
      <w:sz w:val="24"/>
      <w:szCs w:val="24"/>
    </w:rPr>
  </w:style>
  <w:style w:type="paragraph" w:styleId="985" w:customStyle="1">
    <w:name w:val="普通(网站)1"/>
    <w:basedOn w:val="860"/>
    <w:link w:val="984"/>
    <w:uiPriority w:val="99"/>
    <w:qFormat/>
    <w:pPr>
      <w:jc w:val="left"/>
      <w:spacing w:before="100" w:beforeAutospacing="1" w:after="100" w:afterAutospacing="1"/>
      <w:widowControl/>
    </w:pPr>
    <w:rPr>
      <w:rFonts w:ascii="宋体" w:hAnsi="宋体" w:cs="宋体"/>
      <w:sz w:val="24"/>
    </w:rPr>
  </w:style>
  <w:style w:type="character" w:styleId="986" w:customStyle="1">
    <w:name w:val="标题 2 Char"/>
    <w:link w:val="987"/>
    <w:uiPriority w:val="9"/>
    <w:qFormat/>
    <w:rPr>
      <w:rFonts w:ascii="Cambria" w:hAnsi="Cambria"/>
      <w:b/>
      <w:bCs/>
      <w:sz w:val="28"/>
      <w:szCs w:val="32"/>
    </w:rPr>
  </w:style>
  <w:style w:type="paragraph" w:styleId="987" w:customStyle="1">
    <w:name w:val="标题 21"/>
    <w:basedOn w:val="860"/>
    <w:next w:val="860"/>
    <w:link w:val="986"/>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988" w:customStyle="1">
    <w:name w:val="页码1"/>
    <w:uiPriority w:val="0"/>
    <w:qFormat/>
  </w:style>
  <w:style w:type="character" w:styleId="989" w:customStyle="1">
    <w:name w:val="批注主题 Char"/>
    <w:link w:val="990"/>
    <w:uiPriority w:val="0"/>
    <w:qFormat/>
    <w:rPr>
      <w:b/>
      <w:bCs/>
      <w:sz w:val="21"/>
      <w:szCs w:val="24"/>
    </w:rPr>
  </w:style>
  <w:style w:type="paragraph" w:styleId="990" w:customStyle="1">
    <w:name w:val="批注主题1"/>
    <w:basedOn w:val="991"/>
    <w:next w:val="991"/>
    <w:link w:val="989"/>
    <w:uiPriority w:val="0"/>
    <w:qFormat/>
    <w:rPr>
      <w:b/>
      <w:bCs/>
    </w:rPr>
  </w:style>
  <w:style w:type="paragraph" w:styleId="991" w:customStyle="1">
    <w:name w:val="批注文字1"/>
    <w:basedOn w:val="860"/>
    <w:link w:val="992"/>
    <w:uiPriority w:val="0"/>
    <w:qFormat/>
    <w:pPr>
      <w:jc w:val="left"/>
    </w:pPr>
  </w:style>
  <w:style w:type="character" w:styleId="992" w:customStyle="1">
    <w:name w:val="批注文字 Char"/>
    <w:link w:val="991"/>
    <w:uiPriority w:val="0"/>
    <w:qFormat/>
    <w:rPr>
      <w:sz w:val="21"/>
      <w:szCs w:val="24"/>
    </w:rPr>
  </w:style>
  <w:style w:type="character" w:styleId="993" w:customStyle="1">
    <w:name w:val="超链接1"/>
    <w:link w:val="969"/>
    <w:uiPriority w:val="0"/>
    <w:qFormat/>
    <w:rPr>
      <w:rFonts w:ascii="Times New Roman" w:hAnsi="Times New Roman" w:eastAsia="宋体" w:cs="Times New Roman"/>
      <w:sz w:val="21"/>
      <w:szCs w:val="24"/>
      <w:lang w:val="en-US" w:eastAsia="zh-CN" w:bidi="ar-SA"/>
    </w:rPr>
  </w:style>
  <w:style w:type="paragraph" w:styleId="994" w:customStyle="1">
    <w:name w:val="正文文本1"/>
    <w:basedOn w:val="969"/>
    <w:next w:val="995"/>
    <w:uiPriority w:val="0"/>
    <w:qFormat/>
    <w:pPr>
      <w:spacing w:after="120"/>
    </w:pPr>
    <w:rPr>
      <w:lang w:eastAsia="en-US"/>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next w:val="86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97" w:customStyle="1">
    <w:name w:val="段"/>
    <w:basedOn w:val="860"/>
    <w:next w:val="860"/>
    <w:uiPriority w:val="0"/>
    <w:qFormat/>
    <w:pPr>
      <w:ind w:firstLine="200"/>
      <w:widowControl/>
    </w:pPr>
    <w:rPr>
      <w:rFonts w:hint="eastAsia" w:ascii="宋体"/>
      <w:szCs w:val="20"/>
    </w:rPr>
  </w:style>
  <w:style w:type="character" w:styleId="998" w:customStyle="1">
    <w:name w:val="批注引用1"/>
    <w:uiPriority w:val="0"/>
    <w:qFormat/>
    <w:rPr>
      <w:sz w:val="21"/>
      <w:szCs w:val="21"/>
    </w:rPr>
  </w:style>
  <w:style w:type="character" w:styleId="999" w:customStyle="1">
    <w:name w:val="正文首行缩进 2 Char"/>
    <w:link w:val="1000"/>
    <w:uiPriority w:val="0"/>
    <w:qFormat/>
    <w:rPr>
      <w:sz w:val="21"/>
      <w:szCs w:val="24"/>
    </w:rPr>
  </w:style>
  <w:style w:type="paragraph" w:styleId="1000" w:customStyle="1">
    <w:name w:val="正文首行缩进 21"/>
    <w:basedOn w:val="974"/>
    <w:link w:val="999"/>
    <w:uiPriority w:val="0"/>
    <w:qFormat/>
    <w:pPr>
      <w:ind w:firstLine="420"/>
    </w:pPr>
  </w:style>
  <w:style w:type="paragraph" w:styleId="1001" w:customStyle="1">
    <w:name w:val="表格3"/>
    <w:basedOn w:val="860"/>
    <w:uiPriority w:val="0"/>
    <w:qFormat/>
    <w:pPr>
      <w:jc w:val="center"/>
    </w:pPr>
  </w:style>
  <w:style w:type="paragraph" w:styleId="1002" w:customStyle="1">
    <w:name w:val="无间隔1"/>
    <w:uiPriority w:val="1"/>
    <w:qFormat/>
    <w:rPr>
      <w:rFonts w:ascii="Times New Roman" w:hAnsi="Times New Roman" w:eastAsia="宋体" w:cs="Times New Roman"/>
      <w:lang w:val="en-US" w:eastAsia="zh-CN" w:bidi="ar-SA"/>
    </w:rPr>
  </w:style>
  <w:style w:type="paragraph" w:styleId="1003" w:customStyle="1">
    <w:name w:val="目录 31"/>
    <w:basedOn w:val="860"/>
    <w:next w:val="860"/>
    <w:uiPriority w:val="39"/>
    <w:unhideWhenUsed/>
    <w:qFormat/>
    <w:pPr>
      <w:ind w:left="567"/>
      <w:spacing w:after="57"/>
    </w:pPr>
  </w:style>
  <w:style w:type="paragraph" w:styleId="1004" w:customStyle="1">
    <w:name w:val="图表目录1"/>
    <w:basedOn w:val="860"/>
    <w:next w:val="860"/>
    <w:uiPriority w:val="99"/>
    <w:unhideWhenUsed/>
    <w:qFormat/>
  </w:style>
  <w:style w:type="paragraph" w:styleId="100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06" w:customStyle="1">
    <w:name w:val="列出段落1"/>
    <w:basedOn w:val="860"/>
    <w:uiPriority w:val="34"/>
    <w:qFormat/>
    <w:pPr>
      <w:ind w:firstLine="420"/>
    </w:pPr>
    <w:rPr>
      <w:rFonts w:ascii="Calibri" w:hAnsi="Calibri"/>
    </w:rPr>
  </w:style>
  <w:style w:type="paragraph" w:styleId="1007" w:customStyle="1">
    <w:name w:val="Blockquote"/>
    <w:basedOn w:val="860"/>
    <w:uiPriority w:val="0"/>
    <w:qFormat/>
    <w:pPr>
      <w:ind w:left="764" w:right="567"/>
      <w:jc w:val="left"/>
      <w:spacing w:before="100" w:after="100"/>
    </w:pPr>
    <w:rPr>
      <w:sz w:val="24"/>
    </w:rPr>
  </w:style>
  <w:style w:type="paragraph" w:styleId="1008" w:customStyle="1">
    <w:name w:val="_Style 2"/>
    <w:basedOn w:val="1009"/>
    <w:next w:val="860"/>
    <w:uiPriority w:val="0"/>
    <w:qFormat/>
    <w:pPr>
      <w:jc w:val="both"/>
      <w:spacing w:line="576" w:lineRule="auto"/>
      <w:outlineLvl w:val="9"/>
    </w:pPr>
  </w:style>
  <w:style w:type="paragraph" w:styleId="1009" w:customStyle="1">
    <w:name w:val="标题 11"/>
    <w:basedOn w:val="860"/>
    <w:next w:val="860"/>
    <w:uiPriority w:val="0"/>
    <w:qFormat/>
    <w:pPr>
      <w:jc w:val="center"/>
      <w:keepLines/>
      <w:keepNext/>
      <w:spacing w:before="340" w:after="330" w:line="578" w:lineRule="auto"/>
      <w:outlineLvl w:val="0"/>
    </w:pPr>
    <w:rPr>
      <w:b/>
      <w:bCs/>
      <w:sz w:val="44"/>
      <w:szCs w:val="44"/>
    </w:rPr>
  </w:style>
  <w:style w:type="paragraph" w:styleId="1010" w:customStyle="1">
    <w:name w:val="默认段落字体 Para Char Char Char Char Char Char Char"/>
    <w:basedOn w:val="860"/>
    <w:uiPriority w:val="0"/>
    <w:qFormat/>
    <w:rPr>
      <w:rFonts w:ascii="Tahoma" w:hAnsi="Tahoma"/>
      <w:sz w:val="24"/>
      <w:szCs w:val="20"/>
    </w:rPr>
  </w:style>
  <w:style w:type="paragraph" w:styleId="1011" w:customStyle="1">
    <w:name w:val="目录 91"/>
    <w:basedOn w:val="860"/>
    <w:next w:val="860"/>
    <w:uiPriority w:val="39"/>
    <w:unhideWhenUsed/>
    <w:qFormat/>
    <w:pPr>
      <w:ind w:left="2268"/>
      <w:spacing w:after="57"/>
    </w:pPr>
  </w:style>
  <w:style w:type="paragraph" w:styleId="1012" w:customStyle="1">
    <w:name w:val="正文文本缩进2"/>
    <w:basedOn w:val="860"/>
    <w:uiPriority w:val="0"/>
    <w:qFormat/>
    <w:pPr>
      <w:ind w:left="420"/>
      <w:spacing w:after="120"/>
    </w:pPr>
    <w:rPr>
      <w:rFonts w:ascii="Calibri" w:hAnsi="Calibri"/>
    </w:rPr>
  </w:style>
  <w:style w:type="paragraph" w:styleId="1013" w:customStyle="1">
    <w:name w:val="目录 21"/>
    <w:basedOn w:val="860"/>
    <w:next w:val="860"/>
    <w:uiPriority w:val="39"/>
    <w:unhideWhenUsed/>
    <w:qFormat/>
    <w:pPr>
      <w:ind w:left="283"/>
      <w:spacing w:after="57"/>
    </w:pPr>
  </w:style>
  <w:style w:type="paragraph" w:styleId="1014" w:customStyle="1">
    <w:name w:val="Char"/>
    <w:basedOn w:val="860"/>
    <w:uiPriority w:val="0"/>
    <w:qFormat/>
    <w:pPr>
      <w:tabs>
        <w:tab w:val="left" w:pos="360" w:leader="none"/>
      </w:tabs>
    </w:pPr>
    <w:rPr>
      <w:sz w:val="24"/>
    </w:rPr>
  </w:style>
  <w:style w:type="paragraph" w:styleId="1015" w:customStyle="1">
    <w:name w:val="正文文本111"/>
    <w:basedOn w:val="860"/>
    <w:next w:val="860"/>
    <w:uiPriority w:val="0"/>
    <w:qFormat/>
    <w:pPr>
      <w:spacing w:after="120"/>
    </w:pPr>
  </w:style>
  <w:style w:type="paragraph" w:styleId="1016" w:customStyle="1">
    <w:name w:val="列出段落2"/>
    <w:basedOn w:val="860"/>
    <w:uiPriority w:val="34"/>
    <w:qFormat/>
    <w:pPr>
      <w:contextualSpacing/>
      <w:ind w:left="720"/>
    </w:pPr>
  </w:style>
  <w:style w:type="paragraph" w:styleId="1017" w:customStyle="1">
    <w:name w:val="目录 81"/>
    <w:basedOn w:val="860"/>
    <w:next w:val="860"/>
    <w:uiPriority w:val="39"/>
    <w:unhideWhenUsed/>
    <w:qFormat/>
    <w:pPr>
      <w:ind w:left="1984"/>
      <w:spacing w:after="57"/>
    </w:pPr>
  </w:style>
  <w:style w:type="paragraph" w:styleId="1018" w:customStyle="1">
    <w:name w:val="页眉1"/>
    <w:basedOn w:val="860"/>
    <w:uiPriority w:val="0"/>
    <w:qFormat/>
    <w:pPr>
      <w:jc w:val="center"/>
      <w:tabs>
        <w:tab w:val="center" w:pos="4153" w:leader="none"/>
        <w:tab w:val="right" w:pos="8306" w:leader="none"/>
      </w:tabs>
      <w:pBdr>
        <w:bottom w:val="single" w:color="000000" w:sz="6" w:space="1"/>
      </w:pBdr>
    </w:pPr>
    <w:rPr>
      <w:sz w:val="18"/>
      <w:szCs w:val="18"/>
    </w:rPr>
  </w:style>
  <w:style w:type="paragraph" w:styleId="1019" w:customStyle="1">
    <w:name w:val="_Style 11"/>
    <w:uiPriority w:val="1"/>
    <w:qFormat/>
    <w:pPr>
      <w:jc w:val="both"/>
      <w:widowControl w:val="off"/>
    </w:pPr>
    <w:rPr>
      <w:rFonts w:ascii="宋体" w:hAnsi="宋体" w:eastAsia="宋体" w:cs="宋体"/>
      <w:sz w:val="21"/>
      <w:szCs w:val="22"/>
      <w:lang w:val="en-US" w:eastAsia="zh-CN" w:bidi="ar-SA"/>
    </w:rPr>
  </w:style>
  <w:style w:type="paragraph" w:styleId="102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21" w:customStyle="1">
    <w:name w:val="题注1"/>
    <w:basedOn w:val="860"/>
    <w:next w:val="860"/>
    <w:uiPriority w:val="35"/>
    <w:qFormat/>
    <w:pPr>
      <w:spacing w:line="276" w:lineRule="auto"/>
    </w:pPr>
    <w:rPr>
      <w:b/>
      <w:bCs/>
      <w:color w:val="4f81bd"/>
      <w:sz w:val="18"/>
      <w:szCs w:val="18"/>
    </w:rPr>
  </w:style>
  <w:style w:type="paragraph" w:styleId="1022" w:customStyle="1">
    <w:name w:val="目录 61"/>
    <w:basedOn w:val="860"/>
    <w:next w:val="860"/>
    <w:uiPriority w:val="39"/>
    <w:unhideWhenUsed/>
    <w:qFormat/>
    <w:pPr>
      <w:ind w:left="1417"/>
      <w:spacing w:after="57"/>
    </w:pPr>
  </w:style>
  <w:style w:type="paragraph" w:styleId="1023" w:customStyle="1">
    <w:name w:val="目录 51"/>
    <w:basedOn w:val="860"/>
    <w:next w:val="860"/>
    <w:uiPriority w:val="39"/>
    <w:unhideWhenUsed/>
    <w:qFormat/>
    <w:pPr>
      <w:ind w:left="1134"/>
      <w:spacing w:after="57"/>
    </w:pPr>
  </w:style>
  <w:style w:type="paragraph" w:styleId="1024" w:customStyle="1">
    <w:name w:val="目录 71"/>
    <w:basedOn w:val="860"/>
    <w:next w:val="860"/>
    <w:uiPriority w:val="39"/>
    <w:unhideWhenUsed/>
    <w:qFormat/>
    <w:pPr>
      <w:ind w:left="1701"/>
      <w:spacing w:after="57"/>
    </w:pPr>
  </w:style>
  <w:style w:type="paragraph" w:styleId="1025" w:customStyle="1">
    <w:name w:val="TOC 标题11"/>
    <w:uiPriority w:val="39"/>
    <w:unhideWhenUsed/>
    <w:qFormat/>
    <w:rPr>
      <w:rFonts w:ascii="Times New Roman" w:hAnsi="Times New Roman" w:eastAsia="宋体" w:cs="Times New Roman"/>
      <w:lang w:val="en-US" w:eastAsia="zh-CN" w:bidi="ar-SA"/>
    </w:rPr>
  </w:style>
  <w:style w:type="paragraph" w:styleId="1026" w:customStyle="1">
    <w:name w:val="标题 31"/>
    <w:basedOn w:val="860"/>
    <w:next w:val="860"/>
    <w:uiPriority w:val="0"/>
    <w:qFormat/>
    <w:pPr>
      <w:keepLines/>
      <w:keepNext/>
      <w:spacing w:before="260" w:after="260" w:line="416" w:lineRule="auto"/>
      <w:outlineLvl w:val="2"/>
    </w:pPr>
    <w:rPr>
      <w:b/>
      <w:bCs/>
      <w:sz w:val="32"/>
      <w:szCs w:val="32"/>
    </w:rPr>
  </w:style>
  <w:style w:type="paragraph" w:styleId="1027" w:customStyle="1">
    <w:name w:val="目录 41"/>
    <w:basedOn w:val="860"/>
    <w:next w:val="860"/>
    <w:uiPriority w:val="39"/>
    <w:unhideWhenUsed/>
    <w:qFormat/>
    <w:pPr>
      <w:ind w:left="850"/>
      <w:spacing w:after="57"/>
    </w:pPr>
  </w:style>
  <w:style w:type="paragraph" w:styleId="1028" w:customStyle="1">
    <w:name w:val="p0"/>
    <w:basedOn w:val="860"/>
    <w:uiPriority w:val="0"/>
    <w:qFormat/>
    <w:pPr>
      <w:widowControl/>
    </w:pPr>
    <w:rPr>
      <w:szCs w:val="21"/>
    </w:rPr>
  </w:style>
  <w:style w:type="paragraph" w:styleId="1029" w:customStyle="1">
    <w:name w:val="文本块{858D7CFB-ED40-4347-BF05-701D383B685F}{858D7CFB-ED40-4347-BF05-701D383B685F}"/>
    <w:basedOn w:val="860"/>
    <w:uiPriority w:val="0"/>
    <w:qFormat/>
    <w:pPr>
      <w:ind w:left="256" w:right="6" w:firstLine="200"/>
    </w:pPr>
    <w:rPr>
      <w:rFonts w:eastAsia="仿宋_GB2312"/>
      <w:sz w:val="28"/>
    </w:rPr>
  </w:style>
  <w:style w:type="paragraph" w:styleId="1030" w:customStyle="1">
    <w:name w:val="_HT_正文"/>
    <w:basedOn w:val="860"/>
    <w:uiPriority w:val="0"/>
    <w:qFormat/>
    <w:pPr>
      <w:ind w:firstLine="200"/>
      <w:spacing w:line="360" w:lineRule="auto"/>
    </w:pPr>
    <w:rPr>
      <w:sz w:val="24"/>
    </w:rPr>
  </w:style>
  <w:style w:type="paragraph" w:styleId="1031" w:customStyle="1">
    <w:name w:val="页脚1"/>
    <w:basedOn w:val="860"/>
    <w:uiPriority w:val="0"/>
    <w:qFormat/>
    <w:pPr>
      <w:jc w:val="left"/>
      <w:tabs>
        <w:tab w:val="center" w:pos="4153" w:leader="none"/>
        <w:tab w:val="right" w:pos="8306" w:leader="none"/>
      </w:tabs>
    </w:pPr>
    <w:rPr>
      <w:sz w:val="18"/>
      <w:szCs w:val="18"/>
    </w:rPr>
  </w:style>
  <w:style w:type="paragraph" w:styleId="1032" w:customStyle="1">
    <w:name w:val="彩色列表 - 强调文字颜色 11"/>
    <w:basedOn w:val="860"/>
    <w:uiPriority w:val="34"/>
    <w:qFormat/>
    <w:pPr>
      <w:ind w:firstLine="420"/>
    </w:pPr>
    <w:rPr>
      <w:rFonts w:ascii="Calibri" w:hAnsi="Calibri"/>
      <w:szCs w:val="22"/>
    </w:rPr>
  </w:style>
  <w:style w:type="paragraph" w:styleId="1033" w:customStyle="1">
    <w:name w:val="UserStyle_0"/>
    <w:next w:val="1034"/>
    <w:uiPriority w:val="0"/>
    <w:qFormat/>
    <w:pPr>
      <w:jc w:val="both"/>
    </w:pPr>
    <w:rPr>
      <w:rFonts w:ascii="Times New Roman" w:hAnsi="Times New Roman" w:eastAsia="宋体" w:cs="Times New Roman"/>
      <w:sz w:val="21"/>
      <w:szCs w:val="24"/>
      <w:lang w:val="en-US" w:eastAsia="zh-CN" w:bidi="ar-SA"/>
    </w:rPr>
  </w:style>
  <w:style w:type="paragraph" w:styleId="1034" w:customStyle="1">
    <w:name w:val="UserStyle_1"/>
    <w:basedOn w:val="1033"/>
    <w:next w:val="1035"/>
    <w:uiPriority w:val="0"/>
    <w:qFormat/>
    <w:pPr>
      <w:spacing w:after="120"/>
    </w:pPr>
    <w:rPr>
      <w:lang w:eastAsia="en-US"/>
    </w:rPr>
  </w:style>
  <w:style w:type="paragraph" w:styleId="1035" w:customStyle="1">
    <w:name w:val="UserStyle_3"/>
    <w:basedOn w:val="1036"/>
    <w:next w:val="103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36" w:customStyle="1">
    <w:name w:val="UserStyle_4"/>
    <w:next w:val="860"/>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037" w:customStyle="1">
    <w:name w:val="UserStyle_5"/>
    <w:basedOn w:val="860"/>
    <w:next w:val="860"/>
    <w:uiPriority w:val="0"/>
    <w:qFormat/>
    <w:pPr>
      <w:ind w:firstLine="200"/>
    </w:pPr>
    <w:rPr>
      <w:rFonts w:ascii="宋体"/>
      <w:szCs w:val="20"/>
    </w:rPr>
  </w:style>
  <w:style w:type="table" w:styleId="1038" w:customStyle="1">
    <w:name w:val="Grid Table 3 - Accent 2"/>
    <w:uiPriority w:val="99"/>
    <w:qFormat/>
    <w:tblPr>
      <w:tblCellMar>
        <w:left w:w="0" w:type="dxa"/>
        <w:top w:w="0" w:type="dxa"/>
        <w:right w:w="0" w:type="dxa"/>
        <w:bottom w:w="0" w:type="dxa"/>
      </w:tblCellMar>
    </w:tblPr>
  </w:style>
  <w:style w:type="table" w:styleId="1039" w:customStyle="1">
    <w:name w:val="List Table 4 - Accent 1"/>
    <w:uiPriority w:val="99"/>
    <w:qFormat/>
    <w:tblPr>
      <w:tblCellMar>
        <w:left w:w="0" w:type="dxa"/>
        <w:top w:w="0" w:type="dxa"/>
        <w:right w:w="0" w:type="dxa"/>
        <w:bottom w:w="0" w:type="dxa"/>
      </w:tblCellMar>
    </w:tblPr>
  </w:style>
  <w:style w:type="table" w:styleId="1040" w:customStyle="1">
    <w:name w:val="网格型11"/>
    <w:uiPriority w:val="59"/>
    <w:qFormat/>
    <w:tblPr>
      <w:tblCellMar>
        <w:left w:w="0" w:type="dxa"/>
        <w:top w:w="0" w:type="dxa"/>
        <w:right w:w="0" w:type="dxa"/>
        <w:bottom w:w="0" w:type="dxa"/>
      </w:tblCellMar>
    </w:tblPr>
  </w:style>
  <w:style w:type="table" w:styleId="1041" w:customStyle="1">
    <w:name w:val="Grid Table 3"/>
    <w:uiPriority w:val="99"/>
    <w:qFormat/>
    <w:tblPr>
      <w:tblCellMar>
        <w:left w:w="0" w:type="dxa"/>
        <w:top w:w="0" w:type="dxa"/>
        <w:right w:w="0" w:type="dxa"/>
        <w:bottom w:w="0" w:type="dxa"/>
      </w:tblCellMar>
    </w:tblPr>
  </w:style>
  <w:style w:type="table" w:styleId="1042" w:customStyle="1">
    <w:name w:val="Grid Table 4 - Accent 1"/>
    <w:uiPriority w:val="59"/>
    <w:qFormat/>
    <w:tblPr>
      <w:tblCellMar>
        <w:left w:w="0" w:type="dxa"/>
        <w:top w:w="0" w:type="dxa"/>
        <w:right w:w="0" w:type="dxa"/>
        <w:bottom w:w="0" w:type="dxa"/>
      </w:tblCellMar>
    </w:tblPr>
  </w:style>
  <w:style w:type="table" w:styleId="1043" w:customStyle="1">
    <w:name w:val="List Table 5 Dark - Accent 5"/>
    <w:uiPriority w:val="99"/>
    <w:qFormat/>
    <w:tblPr>
      <w:tblCellMar>
        <w:left w:w="0" w:type="dxa"/>
        <w:top w:w="0" w:type="dxa"/>
        <w:right w:w="0" w:type="dxa"/>
        <w:bottom w:w="0" w:type="dxa"/>
      </w:tblCellMar>
    </w:tblPr>
  </w:style>
  <w:style w:type="table" w:styleId="1044" w:customStyle="1">
    <w:name w:val="Grid Table 4 - Accent 6"/>
    <w:uiPriority w:val="59"/>
    <w:qFormat/>
    <w:tblPr>
      <w:tblCellMar>
        <w:left w:w="0" w:type="dxa"/>
        <w:top w:w="0" w:type="dxa"/>
        <w:right w:w="0" w:type="dxa"/>
        <w:bottom w:w="0" w:type="dxa"/>
      </w:tblCellMar>
    </w:tblPr>
  </w:style>
  <w:style w:type="table" w:styleId="1045" w:customStyle="1">
    <w:name w:val="Lined - Accent 1"/>
    <w:uiPriority w:val="99"/>
    <w:qFormat/>
    <w:rPr>
      <w:color w:val="404040"/>
    </w:rPr>
    <w:tblPr>
      <w:tblCellMar>
        <w:left w:w="0" w:type="dxa"/>
        <w:top w:w="0" w:type="dxa"/>
        <w:right w:w="0" w:type="dxa"/>
        <w:bottom w:w="0" w:type="dxa"/>
      </w:tblCellMar>
    </w:tblPr>
  </w:style>
  <w:style w:type="table" w:styleId="1046" w:customStyle="1">
    <w:name w:val="Bordered - Accent 1"/>
    <w:uiPriority w:val="99"/>
    <w:qFormat/>
    <w:tblPr>
      <w:tblCellMar>
        <w:left w:w="0" w:type="dxa"/>
        <w:top w:w="0" w:type="dxa"/>
        <w:right w:w="0" w:type="dxa"/>
        <w:bottom w:w="0" w:type="dxa"/>
      </w:tblCellMar>
    </w:tblPr>
  </w:style>
  <w:style w:type="table" w:styleId="1047" w:customStyle="1">
    <w:name w:val="List Table 2 - Accent 3"/>
    <w:uiPriority w:val="99"/>
    <w:qFormat/>
    <w:tblPr>
      <w:tblCellMar>
        <w:left w:w="0" w:type="dxa"/>
        <w:top w:w="0" w:type="dxa"/>
        <w:right w:w="0" w:type="dxa"/>
        <w:bottom w:w="0" w:type="dxa"/>
      </w:tblCellMar>
    </w:tblPr>
  </w:style>
  <w:style w:type="table" w:styleId="1048" w:customStyle="1">
    <w:name w:val="Grid Table 1 Light - Accent 6"/>
    <w:uiPriority w:val="99"/>
    <w:qFormat/>
    <w:tblPr>
      <w:tblCellMar>
        <w:left w:w="0" w:type="dxa"/>
        <w:top w:w="0" w:type="dxa"/>
        <w:right w:w="0" w:type="dxa"/>
        <w:bottom w:w="0" w:type="dxa"/>
      </w:tblCellMar>
    </w:tblPr>
  </w:style>
  <w:style w:type="table" w:styleId="1049" w:customStyle="1">
    <w:name w:val="Plain Table 5"/>
    <w:uiPriority w:val="99"/>
    <w:qFormat/>
    <w:tblPr>
      <w:tblCellMar>
        <w:left w:w="0" w:type="dxa"/>
        <w:top w:w="0" w:type="dxa"/>
        <w:right w:w="0" w:type="dxa"/>
        <w:bottom w:w="0" w:type="dxa"/>
      </w:tblCellMar>
    </w:tblPr>
  </w:style>
  <w:style w:type="table" w:styleId="1050" w:customStyle="1">
    <w:name w:val="Grid Table 3 - Accent 1"/>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Bordered - Accent 4"/>
    <w:uiPriority w:val="99"/>
    <w:qFormat/>
    <w:tblPr>
      <w:tblCellMar>
        <w:left w:w="0" w:type="dxa"/>
        <w:top w:w="0" w:type="dxa"/>
        <w:right w:w="0" w:type="dxa"/>
        <w:bottom w:w="0" w:type="dxa"/>
      </w:tblCellMar>
    </w:tblPr>
  </w:style>
  <w:style w:type="table" w:styleId="1053" w:customStyle="1">
    <w:name w:val="List Table 7 Colorful - Accent 6"/>
    <w:uiPriority w:val="99"/>
    <w:qFormat/>
    <w:tblPr>
      <w:tblCellMar>
        <w:left w:w="0" w:type="dxa"/>
        <w:top w:w="0" w:type="dxa"/>
        <w:right w:w="0" w:type="dxa"/>
        <w:bottom w:w="0" w:type="dxa"/>
      </w:tblCellMar>
    </w:tblPr>
  </w:style>
  <w:style w:type="table" w:styleId="1054" w:customStyle="1">
    <w:name w:val="List Table 2 - Accent 5"/>
    <w:uiPriority w:val="99"/>
    <w:qFormat/>
    <w:tblPr>
      <w:tblCellMar>
        <w:left w:w="0" w:type="dxa"/>
        <w:top w:w="0" w:type="dxa"/>
        <w:right w:w="0" w:type="dxa"/>
        <w:bottom w:w="0" w:type="dxa"/>
      </w:tblCellMar>
    </w:tblPr>
  </w:style>
  <w:style w:type="table" w:styleId="1055" w:customStyle="1">
    <w:name w:val="Lined - Accent 4"/>
    <w:uiPriority w:val="99"/>
    <w:qFormat/>
    <w:rPr>
      <w:color w:val="404040"/>
    </w:rPr>
    <w:tblPr>
      <w:tblCellMar>
        <w:left w:w="0" w:type="dxa"/>
        <w:top w:w="0" w:type="dxa"/>
        <w:right w:w="0" w:type="dxa"/>
        <w:bottom w:w="0" w:type="dxa"/>
      </w:tblCellMar>
    </w:tblPr>
  </w:style>
  <w:style w:type="table" w:styleId="1056" w:customStyle="1">
    <w:name w:val="List Table 3 - Accent 2"/>
    <w:uiPriority w:val="99"/>
    <w:qFormat/>
    <w:tblPr>
      <w:tblCellMar>
        <w:left w:w="0" w:type="dxa"/>
        <w:top w:w="0" w:type="dxa"/>
        <w:right w:w="0" w:type="dxa"/>
        <w:bottom w:w="0" w:type="dxa"/>
      </w:tblCellMar>
    </w:tblPr>
  </w:style>
  <w:style w:type="table" w:styleId="1057" w:customStyle="1">
    <w:name w:val="网格型1"/>
    <w:basedOn w:val="1058"/>
    <w:uiPriority w:val="0"/>
    <w:qFormat/>
    <w:tblPr/>
  </w:style>
  <w:style w:type="table" w:styleId="1058" w:customStyle="1">
    <w:name w:val="普通表格1"/>
    <w:uiPriority w:val="0"/>
    <w:semiHidden/>
    <w:qFormat/>
    <w:tblPr>
      <w:tblCellMar>
        <w:left w:w="0" w:type="dxa"/>
        <w:top w:w="0" w:type="dxa"/>
        <w:right w:w="0" w:type="dxa"/>
        <w:bottom w:w="0" w:type="dxa"/>
      </w:tblCellMar>
    </w:tblPr>
  </w:style>
  <w:style w:type="table" w:styleId="1059" w:customStyle="1">
    <w:name w:val="Grid Table 6 Colorful - Accent 5"/>
    <w:uiPriority w:val="99"/>
    <w:qFormat/>
    <w:tblPr>
      <w:tblCellMar>
        <w:left w:w="0" w:type="dxa"/>
        <w:top w:w="0" w:type="dxa"/>
        <w:right w:w="0" w:type="dxa"/>
        <w:bottom w:w="0" w:type="dxa"/>
      </w:tblCellMar>
    </w:tblPr>
  </w:style>
  <w:style w:type="table" w:styleId="1060" w:customStyle="1">
    <w:name w:val="Grid Table 2 - Accent 6"/>
    <w:uiPriority w:val="99"/>
    <w:qFormat/>
    <w:tblPr>
      <w:tblCellMar>
        <w:left w:w="0" w:type="dxa"/>
        <w:top w:w="0" w:type="dxa"/>
        <w:right w:w="0" w:type="dxa"/>
        <w:bottom w:w="0" w:type="dxa"/>
      </w:tblCellMar>
    </w:tblPr>
  </w:style>
  <w:style w:type="table" w:styleId="1061" w:customStyle="1">
    <w:name w:val="Grid Table 5 Dark"/>
    <w:uiPriority w:val="99"/>
    <w:qFormat/>
    <w:tblPr>
      <w:tblCellMar>
        <w:left w:w="0" w:type="dxa"/>
        <w:top w:w="0" w:type="dxa"/>
        <w:right w:w="0" w:type="dxa"/>
        <w:bottom w:w="0" w:type="dxa"/>
      </w:tblCellMar>
    </w:tblPr>
  </w:style>
  <w:style w:type="table" w:styleId="1062" w:customStyle="1">
    <w:name w:val="Grid Table 6 Colorful - Accent 2"/>
    <w:uiPriority w:val="99"/>
    <w:qFormat/>
    <w:tblPr>
      <w:tblCellMar>
        <w:left w:w="0" w:type="dxa"/>
        <w:top w:w="0" w:type="dxa"/>
        <w:right w:w="0" w:type="dxa"/>
        <w:bottom w:w="0" w:type="dxa"/>
      </w:tblCellMar>
    </w:tblPr>
  </w:style>
  <w:style w:type="table" w:styleId="1063" w:customStyle="1">
    <w:name w:val="Grid Table 2 - Accent 3"/>
    <w:uiPriority w:val="99"/>
    <w:qFormat/>
    <w:tblPr>
      <w:tblCellMar>
        <w:left w:w="0" w:type="dxa"/>
        <w:top w:w="0" w:type="dxa"/>
        <w:right w:w="0" w:type="dxa"/>
        <w:bottom w:w="0" w:type="dxa"/>
      </w:tblCellMar>
    </w:tblPr>
  </w:style>
  <w:style w:type="table" w:styleId="1064" w:customStyle="1">
    <w:name w:val="Grid Table 3 - Accent 6"/>
    <w:uiPriority w:val="99"/>
    <w:qFormat/>
    <w:tblPr>
      <w:tblCellMar>
        <w:left w:w="0" w:type="dxa"/>
        <w:top w:w="0" w:type="dxa"/>
        <w:right w:w="0" w:type="dxa"/>
        <w:bottom w:w="0" w:type="dxa"/>
      </w:tblCellMar>
    </w:tblPr>
  </w:style>
  <w:style w:type="table" w:styleId="1065" w:customStyle="1">
    <w:name w:val="Grid Table 5 Dark - Accent 5"/>
    <w:uiPriority w:val="99"/>
    <w:qFormat/>
    <w:tblPr>
      <w:tblCellMar>
        <w:left w:w="0" w:type="dxa"/>
        <w:top w:w="0" w:type="dxa"/>
        <w:right w:w="0" w:type="dxa"/>
        <w:bottom w:w="0" w:type="dxa"/>
      </w:tblCellMar>
    </w:tblPr>
  </w:style>
  <w:style w:type="table" w:styleId="1066" w:customStyle="1">
    <w:name w:val="List Table 1 Light - Accent 2"/>
    <w:uiPriority w:val="99"/>
    <w:qFormat/>
    <w:tblPr>
      <w:tblCellMar>
        <w:left w:w="0" w:type="dxa"/>
        <w:top w:w="0" w:type="dxa"/>
        <w:right w:w="0" w:type="dxa"/>
        <w:bottom w:w="0" w:type="dxa"/>
      </w:tblCellMar>
    </w:tblPr>
  </w:style>
  <w:style w:type="table" w:styleId="1067" w:customStyle="1">
    <w:name w:val="List Table 2 - Accent 1"/>
    <w:uiPriority w:val="99"/>
    <w:qFormat/>
    <w:tblPr>
      <w:tblCellMar>
        <w:left w:w="0" w:type="dxa"/>
        <w:top w:w="0" w:type="dxa"/>
        <w:right w:w="0" w:type="dxa"/>
        <w:bottom w:w="0" w:type="dxa"/>
      </w:tblCellMar>
    </w:tblPr>
  </w:style>
  <w:style w:type="table" w:styleId="1068" w:customStyle="1">
    <w:name w:val="List Table 1 Light - Accent 3"/>
    <w:uiPriority w:val="99"/>
    <w:qFormat/>
    <w:tblPr>
      <w:tblCellMar>
        <w:left w:w="0" w:type="dxa"/>
        <w:top w:w="0" w:type="dxa"/>
        <w:right w:w="0" w:type="dxa"/>
        <w:bottom w:w="0" w:type="dxa"/>
      </w:tblCellMar>
    </w:tblPr>
  </w:style>
  <w:style w:type="table" w:styleId="1069" w:customStyle="1">
    <w:name w:val="List Table 6 Colorful - Accent 2"/>
    <w:uiPriority w:val="99"/>
    <w:qFormat/>
    <w:tblPr>
      <w:tblCellMar>
        <w:left w:w="0" w:type="dxa"/>
        <w:top w:w="0" w:type="dxa"/>
        <w:right w:w="0" w:type="dxa"/>
        <w:bottom w:w="0" w:type="dxa"/>
      </w:tblCellMar>
    </w:tblPr>
  </w:style>
  <w:style w:type="table" w:styleId="1070" w:customStyle="1">
    <w:name w:val="List Table 7 Colorful"/>
    <w:uiPriority w:val="99"/>
    <w:qFormat/>
    <w:tblPr>
      <w:tblCellMar>
        <w:left w:w="0" w:type="dxa"/>
        <w:top w:w="0" w:type="dxa"/>
        <w:right w:w="0" w:type="dxa"/>
        <w:bottom w:w="0" w:type="dxa"/>
      </w:tblCellMar>
    </w:tblPr>
  </w:style>
  <w:style w:type="table" w:styleId="1071" w:customStyle="1">
    <w:name w:val="Grid Table 3 - Accent 5"/>
    <w:uiPriority w:val="99"/>
    <w:qFormat/>
    <w:tblPr>
      <w:tblCellMar>
        <w:left w:w="0" w:type="dxa"/>
        <w:top w:w="0" w:type="dxa"/>
        <w:right w:w="0" w:type="dxa"/>
        <w:bottom w:w="0" w:type="dxa"/>
      </w:tblCellMar>
    </w:tblPr>
  </w:style>
  <w:style w:type="table" w:styleId="1072" w:customStyle="1">
    <w:name w:val="List Table 5 Dark - Accent 6"/>
    <w:uiPriority w:val="99"/>
    <w:qFormat/>
    <w:tblPr>
      <w:tblCellMar>
        <w:left w:w="0" w:type="dxa"/>
        <w:top w:w="0" w:type="dxa"/>
        <w:right w:w="0" w:type="dxa"/>
        <w:bottom w:w="0" w:type="dxa"/>
      </w:tblCellMar>
    </w:tblPr>
  </w:style>
  <w:style w:type="table" w:styleId="1073" w:customStyle="1">
    <w:name w:val="List Table 2"/>
    <w:uiPriority w:val="99"/>
    <w:qFormat/>
    <w:tblPr>
      <w:tblCellMar>
        <w:left w:w="0" w:type="dxa"/>
        <w:top w:w="0" w:type="dxa"/>
        <w:right w:w="0" w:type="dxa"/>
        <w:bottom w:w="0" w:type="dxa"/>
      </w:tblCellMar>
    </w:tblPr>
  </w:style>
  <w:style w:type="table" w:styleId="1074" w:customStyle="1">
    <w:name w:val="Table Grid Light"/>
    <w:uiPriority w:val="59"/>
    <w:qFormat/>
    <w:tblPr>
      <w:tblCellMar>
        <w:left w:w="0" w:type="dxa"/>
        <w:top w:w="0" w:type="dxa"/>
        <w:right w:w="0" w:type="dxa"/>
        <w:bottom w:w="0" w:type="dxa"/>
      </w:tblCellMar>
    </w:tblPr>
  </w:style>
  <w:style w:type="table" w:styleId="1075" w:customStyle="1">
    <w:name w:val="Lined - Accent 6"/>
    <w:uiPriority w:val="99"/>
    <w:qFormat/>
    <w:rPr>
      <w:color w:val="404040"/>
    </w:rPr>
    <w:tblPr>
      <w:tblCellMar>
        <w:left w:w="0" w:type="dxa"/>
        <w:top w:w="0" w:type="dxa"/>
        <w:right w:w="0" w:type="dxa"/>
        <w:bottom w:w="0" w:type="dxa"/>
      </w:tblCellMar>
    </w:tblPr>
  </w:style>
  <w:style w:type="table" w:styleId="1076" w:customStyle="1">
    <w:name w:val="List Table 1 Light - Accent 6"/>
    <w:uiPriority w:val="99"/>
    <w:qFormat/>
    <w:tblPr>
      <w:tblCellMar>
        <w:left w:w="0" w:type="dxa"/>
        <w:top w:w="0" w:type="dxa"/>
        <w:right w:w="0" w:type="dxa"/>
        <w:bottom w:w="0" w:type="dxa"/>
      </w:tblCellMar>
    </w:tblPr>
  </w:style>
  <w:style w:type="table" w:styleId="1077" w:customStyle="1">
    <w:name w:val="List Table 7 Colorful - Accent 1"/>
    <w:uiPriority w:val="99"/>
    <w:qFormat/>
    <w:tblPr>
      <w:tblCellMar>
        <w:left w:w="0" w:type="dxa"/>
        <w:top w:w="0" w:type="dxa"/>
        <w:right w:w="0" w:type="dxa"/>
        <w:bottom w:w="0" w:type="dxa"/>
      </w:tblCellMar>
    </w:tblPr>
  </w:style>
  <w:style w:type="table" w:styleId="1078" w:customStyle="1">
    <w:name w:val="Lined - Accent"/>
    <w:uiPriority w:val="99"/>
    <w:qFormat/>
    <w:rPr>
      <w:color w:val="404040"/>
    </w:rPr>
    <w:tblPr>
      <w:tblCellMar>
        <w:left w:w="0" w:type="dxa"/>
        <w:top w:w="0" w:type="dxa"/>
        <w:right w:w="0" w:type="dxa"/>
        <w:bottom w:w="0" w:type="dxa"/>
      </w:tblCellMar>
    </w:tblPr>
  </w:style>
  <w:style w:type="table" w:styleId="1079" w:customStyle="1">
    <w:name w:val="Grid Table 4"/>
    <w:uiPriority w:val="59"/>
    <w:qFormat/>
    <w:tblPr>
      <w:tblCellMar>
        <w:left w:w="0" w:type="dxa"/>
        <w:top w:w="0" w:type="dxa"/>
        <w:right w:w="0" w:type="dxa"/>
        <w:bottom w:w="0" w:type="dxa"/>
      </w:tblCellMar>
    </w:tblPr>
  </w:style>
  <w:style w:type="table" w:styleId="1080" w:customStyle="1">
    <w:name w:val="Grid Table 2 - Accent 1"/>
    <w:uiPriority w:val="99"/>
    <w:qFormat/>
    <w:tblPr>
      <w:tblCellMar>
        <w:left w:w="0" w:type="dxa"/>
        <w:top w:w="0" w:type="dxa"/>
        <w:right w:w="0" w:type="dxa"/>
        <w:bottom w:w="0" w:type="dxa"/>
      </w:tblCellMar>
    </w:tblPr>
  </w:style>
  <w:style w:type="table" w:styleId="1081" w:customStyle="1">
    <w:name w:val="List Table 6 Colorful - Accent 4"/>
    <w:uiPriority w:val="99"/>
    <w:qFormat/>
    <w:tblPr>
      <w:tblCellMar>
        <w:left w:w="0" w:type="dxa"/>
        <w:top w:w="0" w:type="dxa"/>
        <w:right w:w="0" w:type="dxa"/>
        <w:bottom w:w="0" w:type="dxa"/>
      </w:tblCellMar>
    </w:tblPr>
  </w:style>
  <w:style w:type="table" w:styleId="1082" w:customStyle="1">
    <w:name w:val="List Table 2 - Accent 6"/>
    <w:uiPriority w:val="99"/>
    <w:qFormat/>
    <w:tblPr>
      <w:tblCellMar>
        <w:left w:w="0" w:type="dxa"/>
        <w:top w:w="0" w:type="dxa"/>
        <w:right w:w="0" w:type="dxa"/>
        <w:bottom w:w="0" w:type="dxa"/>
      </w:tblCellMar>
    </w:tblPr>
  </w:style>
  <w:style w:type="table" w:styleId="1083" w:customStyle="1">
    <w:name w:val="Grid Table 1 Light - Accent 3"/>
    <w:uiPriority w:val="99"/>
    <w:qFormat/>
    <w:tblPr>
      <w:tblCellMar>
        <w:left w:w="0" w:type="dxa"/>
        <w:top w:w="0" w:type="dxa"/>
        <w:right w:w="0" w:type="dxa"/>
        <w:bottom w:w="0" w:type="dxa"/>
      </w:tblCellMar>
    </w:tblPr>
  </w:style>
  <w:style w:type="table" w:styleId="1084" w:customStyle="1">
    <w:name w:val="List Table 5 Dark - Accent 2"/>
    <w:uiPriority w:val="99"/>
    <w:qFormat/>
    <w:tblPr>
      <w:tblCellMar>
        <w:left w:w="0" w:type="dxa"/>
        <w:top w:w="0" w:type="dxa"/>
        <w:right w:w="0" w:type="dxa"/>
        <w:bottom w:w="0" w:type="dxa"/>
      </w:tblCellMar>
    </w:tblPr>
  </w:style>
  <w:style w:type="table" w:styleId="1085" w:customStyle="1">
    <w:name w:val="List Table 2 - Accent 2"/>
    <w:uiPriority w:val="99"/>
    <w:qFormat/>
    <w:tblPr>
      <w:tblCellMar>
        <w:left w:w="0" w:type="dxa"/>
        <w:top w:w="0" w:type="dxa"/>
        <w:right w:w="0" w:type="dxa"/>
        <w:bottom w:w="0" w:type="dxa"/>
      </w:tblCellMar>
    </w:tblPr>
  </w:style>
  <w:style w:type="table" w:styleId="1086" w:customStyle="1">
    <w:name w:val="Grid Table 4 - Accent 4"/>
    <w:uiPriority w:val="59"/>
    <w:qFormat/>
    <w:tblPr>
      <w:tblCellMar>
        <w:left w:w="0" w:type="dxa"/>
        <w:top w:w="0" w:type="dxa"/>
        <w:right w:w="0" w:type="dxa"/>
        <w:bottom w:w="0" w:type="dxa"/>
      </w:tblCellMar>
    </w:tblPr>
  </w:style>
  <w:style w:type="table" w:styleId="1087" w:customStyle="1">
    <w:name w:val="List Table 1 Light - Accent 1"/>
    <w:uiPriority w:val="99"/>
    <w:qFormat/>
    <w:tblPr>
      <w:tblCellMar>
        <w:left w:w="0" w:type="dxa"/>
        <w:top w:w="0" w:type="dxa"/>
        <w:right w:w="0" w:type="dxa"/>
        <w:bottom w:w="0" w:type="dxa"/>
      </w:tblCellMar>
    </w:tblPr>
  </w:style>
  <w:style w:type="table" w:styleId="1088" w:customStyle="1">
    <w:name w:val="List Table 4 - Accent 5"/>
    <w:uiPriority w:val="99"/>
    <w:qFormat/>
    <w:tblPr>
      <w:tblCellMar>
        <w:left w:w="0" w:type="dxa"/>
        <w:top w:w="0" w:type="dxa"/>
        <w:right w:w="0" w:type="dxa"/>
        <w:bottom w:w="0" w:type="dxa"/>
      </w:tblCellMar>
    </w:tblPr>
  </w:style>
  <w:style w:type="table" w:styleId="1089" w:customStyle="1">
    <w:name w:val="Grid Table 2 - Accent 5"/>
    <w:uiPriority w:val="99"/>
    <w:qFormat/>
    <w:tblPr>
      <w:tblCellMar>
        <w:left w:w="0" w:type="dxa"/>
        <w:top w:w="0" w:type="dxa"/>
        <w:right w:w="0" w:type="dxa"/>
        <w:bottom w:w="0" w:type="dxa"/>
      </w:tblCellMar>
    </w:tblPr>
  </w:style>
  <w:style w:type="table" w:styleId="1090" w:customStyle="1">
    <w:name w:val="List Table 3 - Accent 1"/>
    <w:uiPriority w:val="99"/>
    <w:qFormat/>
    <w:tblPr>
      <w:tblCellMar>
        <w:left w:w="0" w:type="dxa"/>
        <w:top w:w="0" w:type="dxa"/>
        <w:right w:w="0" w:type="dxa"/>
        <w:bottom w:w="0" w:type="dxa"/>
      </w:tblCellMar>
    </w:tblPr>
  </w:style>
  <w:style w:type="table" w:styleId="1091" w:customStyle="1">
    <w:name w:val="Grid Table 7 Colorful - Accent 2"/>
    <w:uiPriority w:val="99"/>
    <w:qFormat/>
    <w:tblPr>
      <w:tblCellMar>
        <w:left w:w="0" w:type="dxa"/>
        <w:top w:w="0" w:type="dxa"/>
        <w:right w:w="0" w:type="dxa"/>
        <w:bottom w:w="0" w:type="dxa"/>
      </w:tblCellMar>
    </w:tblPr>
  </w:style>
  <w:style w:type="table" w:styleId="1092" w:customStyle="1">
    <w:name w:val="Grid Table 6 Colorful - Accent 1"/>
    <w:uiPriority w:val="99"/>
    <w:qFormat/>
    <w:tblPr>
      <w:tblCellMar>
        <w:left w:w="0" w:type="dxa"/>
        <w:top w:w="0" w:type="dxa"/>
        <w:right w:w="0" w:type="dxa"/>
        <w:bottom w:w="0" w:type="dxa"/>
      </w:tblCellMar>
    </w:tblPr>
  </w:style>
  <w:style w:type="table" w:styleId="1093" w:customStyle="1">
    <w:name w:val="List Table 4 - Accent 2"/>
    <w:uiPriority w:val="99"/>
    <w:qFormat/>
    <w:tblPr>
      <w:tblCellMar>
        <w:left w:w="0" w:type="dxa"/>
        <w:top w:w="0" w:type="dxa"/>
        <w:right w:w="0" w:type="dxa"/>
        <w:bottom w:w="0" w:type="dxa"/>
      </w:tblCellMar>
    </w:tblPr>
  </w:style>
  <w:style w:type="table" w:styleId="1094" w:customStyle="1">
    <w:name w:val="Lined - Accent 3"/>
    <w:uiPriority w:val="99"/>
    <w:qFormat/>
    <w:rPr>
      <w:color w:val="404040"/>
    </w:rPr>
    <w:tblPr>
      <w:tblCellMar>
        <w:left w:w="0" w:type="dxa"/>
        <w:top w:w="0" w:type="dxa"/>
        <w:right w:w="0" w:type="dxa"/>
        <w:bottom w:w="0" w:type="dxa"/>
      </w:tblCellMar>
    </w:tblPr>
  </w:style>
  <w:style w:type="table" w:styleId="1095" w:customStyle="1">
    <w:name w:val="Bordered &amp; Lined - Accent 1"/>
    <w:uiPriority w:val="99"/>
    <w:qFormat/>
    <w:rPr>
      <w:color w:val="404040"/>
    </w:rPr>
    <w:tblPr>
      <w:tblCellMar>
        <w:left w:w="0" w:type="dxa"/>
        <w:top w:w="0" w:type="dxa"/>
        <w:right w:w="0" w:type="dxa"/>
        <w:bottom w:w="0" w:type="dxa"/>
      </w:tblCellMar>
    </w:tblPr>
  </w:style>
  <w:style w:type="table" w:styleId="1096" w:customStyle="1">
    <w:name w:val="List Table 7 Colorful - Accent 4"/>
    <w:uiPriority w:val="99"/>
    <w:qFormat/>
    <w:tblPr>
      <w:tblCellMar>
        <w:left w:w="0" w:type="dxa"/>
        <w:top w:w="0" w:type="dxa"/>
        <w:right w:w="0" w:type="dxa"/>
        <w:bottom w:w="0" w:type="dxa"/>
      </w:tblCellMar>
    </w:tblPr>
  </w:style>
  <w:style w:type="table" w:styleId="1097" w:customStyle="1">
    <w:name w:val="List Table 3 - Accent 4"/>
    <w:uiPriority w:val="99"/>
    <w:qFormat/>
    <w:tblPr>
      <w:tblCellMar>
        <w:left w:w="0" w:type="dxa"/>
        <w:top w:w="0" w:type="dxa"/>
        <w:right w:w="0" w:type="dxa"/>
        <w:bottom w:w="0" w:type="dxa"/>
      </w:tblCellMar>
    </w:tblPr>
  </w:style>
  <w:style w:type="table" w:styleId="1098" w:customStyle="1">
    <w:name w:val="List Table 5 Dark"/>
    <w:uiPriority w:val="99"/>
    <w:qFormat/>
    <w:tblPr>
      <w:tblCellMar>
        <w:left w:w="0" w:type="dxa"/>
        <w:top w:w="0" w:type="dxa"/>
        <w:right w:w="0" w:type="dxa"/>
        <w:bottom w:w="0" w:type="dxa"/>
      </w:tblCellMar>
    </w:tblPr>
  </w:style>
  <w:style w:type="table" w:styleId="1099" w:customStyle="1">
    <w:name w:val="Lined - Accent 5"/>
    <w:uiPriority w:val="99"/>
    <w:qFormat/>
    <w:rPr>
      <w:color w:val="404040"/>
    </w:rPr>
    <w:tblPr>
      <w:tblCellMar>
        <w:left w:w="0" w:type="dxa"/>
        <w:top w:w="0" w:type="dxa"/>
        <w:right w:w="0" w:type="dxa"/>
        <w:bottom w:w="0" w:type="dxa"/>
      </w:tblCellMar>
    </w:tblPr>
  </w:style>
  <w:style w:type="table" w:styleId="1100" w:customStyle="1">
    <w:name w:val="List Table 1 Light"/>
    <w:uiPriority w:val="99"/>
    <w:qFormat/>
    <w:tblPr>
      <w:tblCellMar>
        <w:left w:w="0" w:type="dxa"/>
        <w:top w:w="0" w:type="dxa"/>
        <w:right w:w="0" w:type="dxa"/>
        <w:bottom w:w="0" w:type="dxa"/>
      </w:tblCellMar>
    </w:tblPr>
  </w:style>
  <w:style w:type="table" w:styleId="1101" w:customStyle="1">
    <w:name w:val="List Table 4 - Accent 6"/>
    <w:uiPriority w:val="99"/>
    <w:qFormat/>
    <w:tblPr>
      <w:tblCellMar>
        <w:left w:w="0" w:type="dxa"/>
        <w:top w:w="0" w:type="dxa"/>
        <w:right w:w="0" w:type="dxa"/>
        <w:bottom w:w="0" w:type="dxa"/>
      </w:tblCellMar>
    </w:tblPr>
  </w:style>
  <w:style w:type="table" w:styleId="1102" w:customStyle="1">
    <w:name w:val="List Table 4"/>
    <w:uiPriority w:val="99"/>
    <w:qFormat/>
    <w:tblPr>
      <w:tblCellMar>
        <w:left w:w="0" w:type="dxa"/>
        <w:top w:w="0" w:type="dxa"/>
        <w:right w:w="0" w:type="dxa"/>
        <w:bottom w:w="0" w:type="dxa"/>
      </w:tblCellMar>
    </w:tblPr>
  </w:style>
  <w:style w:type="table" w:styleId="1103" w:customStyle="1">
    <w:name w:val="List Table 6 Colorful"/>
    <w:uiPriority w:val="99"/>
    <w:qFormat/>
    <w:tblPr>
      <w:tblCellMar>
        <w:left w:w="0" w:type="dxa"/>
        <w:top w:w="0" w:type="dxa"/>
        <w:right w:w="0" w:type="dxa"/>
        <w:bottom w:w="0" w:type="dxa"/>
      </w:tblCellMar>
    </w:tblPr>
  </w:style>
  <w:style w:type="table" w:styleId="1104" w:customStyle="1">
    <w:name w:val="Grid Table 1 Light - Accent 5"/>
    <w:uiPriority w:val="99"/>
    <w:qFormat/>
    <w:tblPr>
      <w:tblCellMar>
        <w:left w:w="0" w:type="dxa"/>
        <w:top w:w="0" w:type="dxa"/>
        <w:right w:w="0" w:type="dxa"/>
        <w:bottom w:w="0" w:type="dxa"/>
      </w:tblCellMar>
    </w:tblPr>
  </w:style>
  <w:style w:type="table" w:styleId="1105" w:customStyle="1">
    <w:name w:val="List Table 5 Dark - Accent 1"/>
    <w:uiPriority w:val="99"/>
    <w:qFormat/>
    <w:tblPr>
      <w:tblCellMar>
        <w:left w:w="0" w:type="dxa"/>
        <w:top w:w="0" w:type="dxa"/>
        <w:right w:w="0" w:type="dxa"/>
        <w:bottom w:w="0" w:type="dxa"/>
      </w:tblCellMar>
    </w:tblPr>
  </w:style>
  <w:style w:type="table" w:styleId="1106" w:customStyle="1">
    <w:name w:val="List Table 6 Colorful - Accent 6"/>
    <w:uiPriority w:val="99"/>
    <w:qFormat/>
    <w:tblPr>
      <w:tblCellMar>
        <w:left w:w="0" w:type="dxa"/>
        <w:top w:w="0" w:type="dxa"/>
        <w:right w:w="0" w:type="dxa"/>
        <w:bottom w:w="0" w:type="dxa"/>
      </w:tblCellMar>
    </w:tblPr>
  </w:style>
  <w:style w:type="table" w:styleId="1107" w:customStyle="1">
    <w:name w:val="Grid Table 5 Dark - Accent 2"/>
    <w:uiPriority w:val="99"/>
    <w:qFormat/>
    <w:tblPr>
      <w:tblCellMar>
        <w:left w:w="0" w:type="dxa"/>
        <w:top w:w="0" w:type="dxa"/>
        <w:right w:w="0" w:type="dxa"/>
        <w:bottom w:w="0" w:type="dxa"/>
      </w:tblCellMar>
    </w:tblPr>
  </w:style>
  <w:style w:type="table" w:styleId="1108" w:customStyle="1">
    <w:name w:val="Bordered - Accent 3"/>
    <w:uiPriority w:val="99"/>
    <w:qFormat/>
    <w:tblPr>
      <w:tblCellMar>
        <w:left w:w="0" w:type="dxa"/>
        <w:top w:w="0" w:type="dxa"/>
        <w:right w:w="0" w:type="dxa"/>
        <w:bottom w:w="0" w:type="dxa"/>
      </w:tblCellMar>
    </w:tblPr>
  </w:style>
  <w:style w:type="table" w:styleId="1109" w:customStyle="1">
    <w:name w:val="Grid Table 3 - Accent 4"/>
    <w:uiPriority w:val="99"/>
    <w:qFormat/>
    <w:tblPr>
      <w:tblCellMar>
        <w:left w:w="0" w:type="dxa"/>
        <w:top w:w="0" w:type="dxa"/>
        <w:right w:w="0" w:type="dxa"/>
        <w:bottom w:w="0" w:type="dxa"/>
      </w:tblCellMar>
    </w:tblPr>
  </w:style>
  <w:style w:type="table" w:styleId="1110" w:customStyle="1">
    <w:name w:val="Grid Table 7 Colorful"/>
    <w:uiPriority w:val="99"/>
    <w:qFormat/>
    <w:tblPr>
      <w:tblCellMar>
        <w:left w:w="0" w:type="dxa"/>
        <w:top w:w="0" w:type="dxa"/>
        <w:right w:w="0" w:type="dxa"/>
        <w:bottom w:w="0" w:type="dxa"/>
      </w:tblCellMar>
    </w:tblPr>
  </w:style>
  <w:style w:type="table" w:styleId="1111" w:customStyle="1">
    <w:name w:val="Grid Table 5 Dark- Accent 4"/>
    <w:uiPriority w:val="99"/>
    <w:qFormat/>
    <w:tblPr>
      <w:tblCellMar>
        <w:left w:w="0" w:type="dxa"/>
        <w:top w:w="0" w:type="dxa"/>
        <w:right w:w="0" w:type="dxa"/>
        <w:bottom w:w="0" w:type="dxa"/>
      </w:tblCellMar>
    </w:tblPr>
  </w:style>
  <w:style w:type="table" w:styleId="1112" w:customStyle="1">
    <w:name w:val="Grid Table 3 - Accent 3"/>
    <w:uiPriority w:val="99"/>
    <w:qFormat/>
    <w:tblPr>
      <w:tblCellMar>
        <w:left w:w="0" w:type="dxa"/>
        <w:top w:w="0" w:type="dxa"/>
        <w:right w:w="0" w:type="dxa"/>
        <w:bottom w:w="0" w:type="dxa"/>
      </w:tblCellMar>
    </w:tblPr>
  </w:style>
  <w:style w:type="table" w:styleId="1113" w:customStyle="1">
    <w:name w:val="Grid Table 6 Colorful - Accent 3"/>
    <w:uiPriority w:val="99"/>
    <w:qFormat/>
    <w:tblPr>
      <w:tblCellMar>
        <w:left w:w="0" w:type="dxa"/>
        <w:top w:w="0" w:type="dxa"/>
        <w:right w:w="0" w:type="dxa"/>
        <w:bottom w:w="0" w:type="dxa"/>
      </w:tblCellMar>
    </w:tblPr>
  </w:style>
  <w:style w:type="table" w:styleId="1114" w:customStyle="1">
    <w:name w:val="List Table 6 Colorful - Accent 3"/>
    <w:uiPriority w:val="99"/>
    <w:qFormat/>
    <w:tblPr>
      <w:tblCellMar>
        <w:left w:w="0" w:type="dxa"/>
        <w:top w:w="0" w:type="dxa"/>
        <w:right w:w="0" w:type="dxa"/>
        <w:bottom w:w="0" w:type="dxa"/>
      </w:tblCellMar>
    </w:tblPr>
  </w:style>
  <w:style w:type="table" w:styleId="1115" w:customStyle="1">
    <w:name w:val="List Table 3"/>
    <w:uiPriority w:val="99"/>
    <w:qFormat/>
    <w:tblPr>
      <w:tblCellMar>
        <w:left w:w="0" w:type="dxa"/>
        <w:top w:w="0" w:type="dxa"/>
        <w:right w:w="0" w:type="dxa"/>
        <w:bottom w:w="0" w:type="dxa"/>
      </w:tblCellMar>
    </w:tblPr>
  </w:style>
  <w:style w:type="table" w:styleId="1116" w:customStyle="1">
    <w:name w:val="List Table 3 - Accent 3"/>
    <w:uiPriority w:val="99"/>
    <w:qFormat/>
    <w:tblPr>
      <w:tblCellMar>
        <w:left w:w="0" w:type="dxa"/>
        <w:top w:w="0" w:type="dxa"/>
        <w:right w:w="0" w:type="dxa"/>
        <w:bottom w:w="0" w:type="dxa"/>
      </w:tblCellMar>
    </w:tblPr>
  </w:style>
  <w:style w:type="table" w:styleId="1117" w:customStyle="1">
    <w:name w:val="Bordered &amp; Lined - Accent 5"/>
    <w:uiPriority w:val="99"/>
    <w:qFormat/>
    <w:rPr>
      <w:color w:val="404040"/>
    </w:rPr>
    <w:tblPr>
      <w:tblCellMar>
        <w:left w:w="0" w:type="dxa"/>
        <w:top w:w="0" w:type="dxa"/>
        <w:right w:w="0" w:type="dxa"/>
        <w:bottom w:w="0" w:type="dxa"/>
      </w:tblCellMar>
    </w:tblPr>
  </w:style>
  <w:style w:type="table" w:styleId="1118" w:customStyle="1">
    <w:name w:val="Grid Table 1 Light - Accent 1"/>
    <w:uiPriority w:val="99"/>
    <w:qFormat/>
    <w:tblPr>
      <w:tblCellMar>
        <w:left w:w="0" w:type="dxa"/>
        <w:top w:w="0" w:type="dxa"/>
        <w:right w:w="0" w:type="dxa"/>
        <w:bottom w:w="0" w:type="dxa"/>
      </w:tblCellMar>
    </w:tblPr>
  </w:style>
  <w:style w:type="table" w:styleId="1119" w:customStyle="1">
    <w:name w:val="Grid Table 6 Colorful - Accent 4"/>
    <w:uiPriority w:val="99"/>
    <w:qFormat/>
    <w:tblPr>
      <w:tblCellMar>
        <w:left w:w="0" w:type="dxa"/>
        <w:top w:w="0" w:type="dxa"/>
        <w:right w:w="0" w:type="dxa"/>
        <w:bottom w:w="0" w:type="dxa"/>
      </w:tblCellMar>
    </w:tblPr>
  </w:style>
  <w:style w:type="table" w:styleId="1120" w:customStyle="1">
    <w:name w:val="Grid Table 5 Dark - Accent 6"/>
    <w:uiPriority w:val="99"/>
    <w:qFormat/>
    <w:tblPr>
      <w:tblCellMar>
        <w:left w:w="0" w:type="dxa"/>
        <w:top w:w="0" w:type="dxa"/>
        <w:right w:w="0" w:type="dxa"/>
        <w:bottom w:w="0" w:type="dxa"/>
      </w:tblCellMar>
    </w:tblPr>
  </w:style>
  <w:style w:type="table" w:styleId="1121" w:customStyle="1">
    <w:name w:val="Grid Table 2 - Accent 2"/>
    <w:uiPriority w:val="99"/>
    <w:qFormat/>
    <w:tblPr>
      <w:tblCellMar>
        <w:left w:w="0" w:type="dxa"/>
        <w:top w:w="0" w:type="dxa"/>
        <w:right w:w="0" w:type="dxa"/>
        <w:bottom w:w="0" w:type="dxa"/>
      </w:tblCellMar>
    </w:tblPr>
  </w:style>
  <w:style w:type="table" w:styleId="1122" w:customStyle="1">
    <w:name w:val="List Table 1 Light - Accent 4"/>
    <w:uiPriority w:val="99"/>
    <w:qFormat/>
    <w:tblPr>
      <w:tblCellMar>
        <w:left w:w="0" w:type="dxa"/>
        <w:top w:w="0" w:type="dxa"/>
        <w:right w:w="0" w:type="dxa"/>
        <w:bottom w:w="0" w:type="dxa"/>
      </w:tblCellMar>
    </w:tblPr>
  </w:style>
  <w:style w:type="table" w:styleId="1123" w:customStyle="1">
    <w:name w:val="Grid Table 7 Colorful - Accent 5"/>
    <w:uiPriority w:val="99"/>
    <w:qFormat/>
    <w:tblPr>
      <w:tblCellMar>
        <w:left w:w="0" w:type="dxa"/>
        <w:top w:w="0" w:type="dxa"/>
        <w:right w:w="0" w:type="dxa"/>
        <w:bottom w:w="0" w:type="dxa"/>
      </w:tblCellMar>
    </w:tblPr>
  </w:style>
  <w:style w:type="table" w:styleId="1124" w:customStyle="1">
    <w:name w:val="List Table 1 Light - Accent 5"/>
    <w:uiPriority w:val="99"/>
    <w:qFormat/>
    <w:tblPr>
      <w:tblCellMar>
        <w:left w:w="0" w:type="dxa"/>
        <w:top w:w="0" w:type="dxa"/>
        <w:right w:w="0" w:type="dxa"/>
        <w:bottom w:w="0" w:type="dxa"/>
      </w:tblCellMar>
    </w:tblPr>
  </w:style>
  <w:style w:type="table" w:styleId="1125" w:customStyle="1">
    <w:name w:val="List Table 5 Dark - Accent 3"/>
    <w:uiPriority w:val="99"/>
    <w:qFormat/>
    <w:tblPr>
      <w:tblCellMar>
        <w:left w:w="0" w:type="dxa"/>
        <w:top w:w="0" w:type="dxa"/>
        <w:right w:w="0" w:type="dxa"/>
        <w:bottom w:w="0" w:type="dxa"/>
      </w:tblCellMar>
    </w:tblPr>
  </w:style>
  <w:style w:type="table" w:styleId="1126" w:customStyle="1">
    <w:name w:val="Bordered - Accent 6"/>
    <w:uiPriority w:val="99"/>
    <w:qFormat/>
    <w:tblPr>
      <w:tblCellMar>
        <w:left w:w="0" w:type="dxa"/>
        <w:top w:w="0" w:type="dxa"/>
        <w:right w:w="0" w:type="dxa"/>
        <w:bottom w:w="0" w:type="dxa"/>
      </w:tblCellMar>
    </w:tblPr>
  </w:style>
  <w:style w:type="table" w:styleId="1127" w:customStyle="1">
    <w:name w:val="Plain Table 2"/>
    <w:uiPriority w:val="59"/>
    <w:qFormat/>
    <w:tblPr>
      <w:tblCellMar>
        <w:left w:w="0" w:type="dxa"/>
        <w:top w:w="0" w:type="dxa"/>
        <w:right w:w="0" w:type="dxa"/>
        <w:bottom w:w="0" w:type="dxa"/>
      </w:tblCellMar>
    </w:tblPr>
  </w:style>
  <w:style w:type="table" w:styleId="1128" w:customStyle="1">
    <w:name w:val="List Table 7 Colorful - Accent 2"/>
    <w:uiPriority w:val="99"/>
    <w:qFormat/>
    <w:tblPr>
      <w:tblCellMar>
        <w:left w:w="0" w:type="dxa"/>
        <w:top w:w="0" w:type="dxa"/>
        <w:right w:w="0" w:type="dxa"/>
        <w:bottom w:w="0" w:type="dxa"/>
      </w:tblCellMar>
    </w:tblPr>
  </w:style>
  <w:style w:type="table" w:styleId="1129" w:customStyle="1">
    <w:name w:val="Grid Table 4 - Accent 5"/>
    <w:uiPriority w:val="59"/>
    <w:qFormat/>
    <w:tblPr>
      <w:tblCellMar>
        <w:left w:w="0" w:type="dxa"/>
        <w:top w:w="0" w:type="dxa"/>
        <w:right w:w="0" w:type="dxa"/>
        <w:bottom w:w="0" w:type="dxa"/>
      </w:tblCellMar>
    </w:tblPr>
  </w:style>
  <w:style w:type="table" w:styleId="1130" w:customStyle="1">
    <w:name w:val="Grid Table 5 Dark - Accent 3"/>
    <w:uiPriority w:val="99"/>
    <w:qFormat/>
    <w:tblPr>
      <w:tblCellMar>
        <w:left w:w="0" w:type="dxa"/>
        <w:top w:w="0" w:type="dxa"/>
        <w:right w:w="0" w:type="dxa"/>
        <w:bottom w:w="0" w:type="dxa"/>
      </w:tblCellMar>
    </w:tblPr>
  </w:style>
  <w:style w:type="table" w:styleId="1131" w:customStyle="1">
    <w:name w:val="Bordered &amp; Lined - Accent 3"/>
    <w:uiPriority w:val="99"/>
    <w:qFormat/>
    <w:rPr>
      <w:color w:val="404040"/>
    </w:rPr>
    <w:tblPr>
      <w:tblCellMar>
        <w:left w:w="0" w:type="dxa"/>
        <w:top w:w="0" w:type="dxa"/>
        <w:right w:w="0" w:type="dxa"/>
        <w:bottom w:w="0" w:type="dxa"/>
      </w:tblCellMar>
    </w:tblPr>
  </w:style>
  <w:style w:type="table" w:styleId="1132" w:customStyle="1">
    <w:name w:val="Bordered &amp; Lined - Accent 2"/>
    <w:uiPriority w:val="99"/>
    <w:qFormat/>
    <w:rPr>
      <w:color w:val="404040"/>
    </w:rPr>
    <w:tblPr>
      <w:tblCellMar>
        <w:left w:w="0" w:type="dxa"/>
        <w:top w:w="0" w:type="dxa"/>
        <w:right w:w="0" w:type="dxa"/>
        <w:bottom w:w="0" w:type="dxa"/>
      </w:tblCellMar>
    </w:tblPr>
  </w:style>
  <w:style w:type="table" w:styleId="1133" w:customStyle="1">
    <w:name w:val="Lined - Accent 2"/>
    <w:uiPriority w:val="99"/>
    <w:qFormat/>
    <w:rPr>
      <w:color w:val="404040"/>
    </w:rPr>
    <w:tblPr>
      <w:tblCellMar>
        <w:left w:w="0" w:type="dxa"/>
        <w:top w:w="0" w:type="dxa"/>
        <w:right w:w="0" w:type="dxa"/>
        <w:bottom w:w="0" w:type="dxa"/>
      </w:tblCellMar>
    </w:tblPr>
  </w:style>
  <w:style w:type="table" w:styleId="1134" w:customStyle="1">
    <w:name w:val="Bordered &amp; Lined - Accent 4"/>
    <w:uiPriority w:val="99"/>
    <w:qFormat/>
    <w:rPr>
      <w:color w:val="404040"/>
    </w:rPr>
    <w:tblPr>
      <w:tblCellMar>
        <w:left w:w="0" w:type="dxa"/>
        <w:top w:w="0" w:type="dxa"/>
        <w:right w:w="0" w:type="dxa"/>
        <w:bottom w:w="0" w:type="dxa"/>
      </w:tblCellMar>
    </w:tblPr>
  </w:style>
  <w:style w:type="table" w:styleId="1135" w:customStyle="1">
    <w:name w:val="List Table 3 - Accent 5"/>
    <w:uiPriority w:val="99"/>
    <w:qFormat/>
    <w:tblPr>
      <w:tblCellMar>
        <w:left w:w="0" w:type="dxa"/>
        <w:top w:w="0" w:type="dxa"/>
        <w:right w:w="0" w:type="dxa"/>
        <w:bottom w:w="0" w:type="dxa"/>
      </w:tblCellMar>
    </w:tblPr>
  </w:style>
  <w:style w:type="table" w:styleId="1136" w:customStyle="1">
    <w:name w:val="Grid Table 6 Colorful - Accent 6"/>
    <w:uiPriority w:val="99"/>
    <w:qFormat/>
    <w:tblPr>
      <w:tblCellMar>
        <w:left w:w="0" w:type="dxa"/>
        <w:top w:w="0" w:type="dxa"/>
        <w:right w:w="0" w:type="dxa"/>
        <w:bottom w:w="0" w:type="dxa"/>
      </w:tblCellMar>
    </w:tblPr>
  </w:style>
  <w:style w:type="table" w:styleId="1137" w:customStyle="1">
    <w:name w:val="List Table 3 - Accent 6"/>
    <w:uiPriority w:val="99"/>
    <w:qFormat/>
    <w:tblPr>
      <w:tblCellMar>
        <w:left w:w="0" w:type="dxa"/>
        <w:top w:w="0" w:type="dxa"/>
        <w:right w:w="0" w:type="dxa"/>
        <w:bottom w:w="0" w:type="dxa"/>
      </w:tblCellMar>
    </w:tblPr>
  </w:style>
  <w:style w:type="table" w:styleId="1138" w:customStyle="1">
    <w:name w:val="Grid Table 7 Colorful - Accent 3"/>
    <w:uiPriority w:val="99"/>
    <w:qFormat/>
    <w:tblPr>
      <w:tblCellMar>
        <w:left w:w="0" w:type="dxa"/>
        <w:top w:w="0" w:type="dxa"/>
        <w:right w:w="0" w:type="dxa"/>
        <w:bottom w:w="0" w:type="dxa"/>
      </w:tblCellMar>
    </w:tblPr>
  </w:style>
  <w:style w:type="table" w:styleId="1139" w:customStyle="1">
    <w:name w:val="Bordered"/>
    <w:uiPriority w:val="99"/>
    <w:qFormat/>
    <w:tblPr>
      <w:tblCellMar>
        <w:left w:w="0" w:type="dxa"/>
        <w:top w:w="0" w:type="dxa"/>
        <w:right w:w="0" w:type="dxa"/>
        <w:bottom w:w="0" w:type="dxa"/>
      </w:tblCellMar>
    </w:tblPr>
  </w:style>
  <w:style w:type="table" w:styleId="1140" w:customStyle="1">
    <w:name w:val="Bordered - Accent 2"/>
    <w:uiPriority w:val="99"/>
    <w:qFormat/>
    <w:tblPr>
      <w:tblCellMar>
        <w:left w:w="0" w:type="dxa"/>
        <w:top w:w="0" w:type="dxa"/>
        <w:right w:w="0" w:type="dxa"/>
        <w:bottom w:w="0" w:type="dxa"/>
      </w:tblCellMar>
    </w:tblPr>
  </w:style>
  <w:style w:type="table" w:styleId="1141" w:customStyle="1">
    <w:name w:val="Grid Table 1 Light"/>
    <w:uiPriority w:val="99"/>
    <w:qFormat/>
    <w:tblPr>
      <w:tblCellMar>
        <w:left w:w="0" w:type="dxa"/>
        <w:top w:w="0" w:type="dxa"/>
        <w:right w:w="0" w:type="dxa"/>
        <w:bottom w:w="0" w:type="dxa"/>
      </w:tblCellMar>
    </w:tblPr>
  </w:style>
  <w:style w:type="table" w:styleId="1142" w:customStyle="1">
    <w:name w:val="Grid Table 6 Colorful"/>
    <w:uiPriority w:val="99"/>
    <w:qFormat/>
    <w:tblPr>
      <w:tblCellMar>
        <w:left w:w="0" w:type="dxa"/>
        <w:top w:w="0" w:type="dxa"/>
        <w:right w:w="0" w:type="dxa"/>
        <w:bottom w:w="0" w:type="dxa"/>
      </w:tblCellMar>
    </w:tblPr>
  </w:style>
  <w:style w:type="table" w:styleId="1143" w:customStyle="1">
    <w:name w:val="Grid Table 1 Light - Accent 2"/>
    <w:uiPriority w:val="99"/>
    <w:qFormat/>
    <w:tblPr>
      <w:tblCellMar>
        <w:left w:w="0" w:type="dxa"/>
        <w:top w:w="0" w:type="dxa"/>
        <w:right w:w="0" w:type="dxa"/>
        <w:bottom w:w="0" w:type="dxa"/>
      </w:tblCellMar>
    </w:tblPr>
  </w:style>
  <w:style w:type="table" w:styleId="1144" w:customStyle="1">
    <w:name w:val="Grid Table 5 Dark- Accent 1"/>
    <w:uiPriority w:val="99"/>
    <w:qFormat/>
    <w:tblPr>
      <w:tblCellMar>
        <w:left w:w="0" w:type="dxa"/>
        <w:top w:w="0" w:type="dxa"/>
        <w:right w:w="0" w:type="dxa"/>
        <w:bottom w:w="0" w:type="dxa"/>
      </w:tblCellMar>
    </w:tblPr>
  </w:style>
  <w:style w:type="table" w:styleId="1145" w:customStyle="1">
    <w:name w:val="Plain Table 4"/>
    <w:uiPriority w:val="99"/>
    <w:qFormat/>
    <w:tblPr>
      <w:tblCellMar>
        <w:left w:w="0" w:type="dxa"/>
        <w:top w:w="0" w:type="dxa"/>
        <w:right w:w="0" w:type="dxa"/>
        <w:bottom w:w="0" w:type="dxa"/>
      </w:tblCellMar>
    </w:tblPr>
  </w:style>
  <w:style w:type="table" w:styleId="1146" w:customStyle="1">
    <w:name w:val="Grid Table 1 Light - Accent 4"/>
    <w:uiPriority w:val="99"/>
    <w:qFormat/>
    <w:tblPr>
      <w:tblCellMar>
        <w:left w:w="0" w:type="dxa"/>
        <w:top w:w="0" w:type="dxa"/>
        <w:right w:w="0" w:type="dxa"/>
        <w:bottom w:w="0" w:type="dxa"/>
      </w:tblCellMar>
    </w:tblPr>
  </w:style>
  <w:style w:type="table" w:styleId="1147" w:customStyle="1">
    <w:name w:val="Grid Table 2"/>
    <w:uiPriority w:val="99"/>
    <w:qFormat/>
    <w:tblPr>
      <w:tblCellMar>
        <w:left w:w="0" w:type="dxa"/>
        <w:top w:w="0" w:type="dxa"/>
        <w:right w:w="0" w:type="dxa"/>
        <w:bottom w:w="0" w:type="dxa"/>
      </w:tblCellMar>
    </w:tblPr>
  </w:style>
  <w:style w:type="table" w:styleId="1148" w:customStyle="1">
    <w:name w:val="List Table 4 - Accent 4"/>
    <w:uiPriority w:val="99"/>
    <w:qFormat/>
    <w:tblPr>
      <w:tblCellMar>
        <w:left w:w="0" w:type="dxa"/>
        <w:top w:w="0" w:type="dxa"/>
        <w:right w:w="0" w:type="dxa"/>
        <w:bottom w:w="0" w:type="dxa"/>
      </w:tblCellMar>
    </w:tblPr>
  </w:style>
  <w:style w:type="table" w:styleId="1149" w:customStyle="1">
    <w:name w:val="Plain Table 1"/>
    <w:uiPriority w:val="59"/>
    <w:qFormat/>
    <w:tblPr>
      <w:tblCellMar>
        <w:left w:w="0" w:type="dxa"/>
        <w:top w:w="0" w:type="dxa"/>
        <w:right w:w="0" w:type="dxa"/>
        <w:bottom w:w="0" w:type="dxa"/>
      </w:tblCellMar>
    </w:tblPr>
  </w:style>
  <w:style w:type="table" w:styleId="1150" w:customStyle="1">
    <w:name w:val="Bordered - Accent 5"/>
    <w:uiPriority w:val="99"/>
    <w:qFormat/>
    <w:tblPr>
      <w:tblCellMar>
        <w:left w:w="0" w:type="dxa"/>
        <w:top w:w="0" w:type="dxa"/>
        <w:right w:w="0" w:type="dxa"/>
        <w:bottom w:w="0" w:type="dxa"/>
      </w:tblCellMar>
    </w:tblPr>
  </w:style>
  <w:style w:type="table" w:styleId="1151" w:customStyle="1">
    <w:name w:val="List Table 6 Colorful - Accent 5"/>
    <w:uiPriority w:val="99"/>
    <w:qFormat/>
    <w:tblPr>
      <w:tblCellMar>
        <w:left w:w="0" w:type="dxa"/>
        <w:top w:w="0" w:type="dxa"/>
        <w:right w:w="0" w:type="dxa"/>
        <w:bottom w:w="0" w:type="dxa"/>
      </w:tblCellMar>
    </w:tblPr>
  </w:style>
  <w:style w:type="table" w:styleId="1152" w:customStyle="1">
    <w:name w:val="Plain Table 3"/>
    <w:uiPriority w:val="99"/>
    <w:qFormat/>
    <w:tblPr>
      <w:tblCellMar>
        <w:left w:w="0" w:type="dxa"/>
        <w:top w:w="0" w:type="dxa"/>
        <w:right w:w="0" w:type="dxa"/>
        <w:bottom w:w="0" w:type="dxa"/>
      </w:tblCellMar>
    </w:tblPr>
  </w:style>
  <w:style w:type="table" w:styleId="1153" w:customStyle="1">
    <w:name w:val="Bordered &amp; Lined - Accent"/>
    <w:uiPriority w:val="99"/>
    <w:qFormat/>
    <w:rPr>
      <w:color w:val="404040"/>
    </w:rPr>
    <w:tblPr>
      <w:tblCellMar>
        <w:left w:w="0" w:type="dxa"/>
        <w:top w:w="0" w:type="dxa"/>
        <w:right w:w="0" w:type="dxa"/>
        <w:bottom w:w="0" w:type="dxa"/>
      </w:tblCellMar>
    </w:tblPr>
  </w:style>
  <w:style w:type="table" w:styleId="1154" w:customStyle="1">
    <w:name w:val="List Table 6 Colorful - Accent 1"/>
    <w:uiPriority w:val="99"/>
    <w:qFormat/>
    <w:tblPr>
      <w:tblCellMar>
        <w:left w:w="0" w:type="dxa"/>
        <w:top w:w="0" w:type="dxa"/>
        <w:right w:w="0" w:type="dxa"/>
        <w:bottom w:w="0" w:type="dxa"/>
      </w:tblCellMar>
    </w:tblPr>
  </w:style>
  <w:style w:type="table" w:styleId="1155" w:customStyle="1">
    <w:name w:val="List Table 4 - Accent 3"/>
    <w:uiPriority w:val="99"/>
    <w:qFormat/>
    <w:tblPr>
      <w:tblCellMar>
        <w:left w:w="0" w:type="dxa"/>
        <w:top w:w="0" w:type="dxa"/>
        <w:right w:w="0" w:type="dxa"/>
        <w:bottom w:w="0" w:type="dxa"/>
      </w:tblCellMar>
    </w:tblPr>
  </w:style>
  <w:style w:type="table" w:styleId="1156" w:customStyle="1">
    <w:name w:val="List Table 7 Colorful - Accent 3"/>
    <w:uiPriority w:val="99"/>
    <w:qFormat/>
    <w:tblPr>
      <w:tblCellMar>
        <w:left w:w="0" w:type="dxa"/>
        <w:top w:w="0" w:type="dxa"/>
        <w:right w:w="0" w:type="dxa"/>
        <w:bottom w:w="0" w:type="dxa"/>
      </w:tblCellMar>
    </w:tblPr>
  </w:style>
  <w:style w:type="table" w:styleId="1157" w:customStyle="1">
    <w:name w:val="Grid Table 4 - Accent 2"/>
    <w:uiPriority w:val="59"/>
    <w:qFormat/>
    <w:tblPr>
      <w:tblCellMar>
        <w:left w:w="0" w:type="dxa"/>
        <w:top w:w="0" w:type="dxa"/>
        <w:right w:w="0" w:type="dxa"/>
        <w:bottom w:w="0" w:type="dxa"/>
      </w:tblCellMar>
    </w:tblPr>
  </w:style>
  <w:style w:type="table" w:styleId="1158" w:customStyle="1">
    <w:name w:val="Grid Table 2 - Accent 4"/>
    <w:uiPriority w:val="99"/>
    <w:qFormat/>
    <w:tblPr>
      <w:tblCellMar>
        <w:left w:w="0" w:type="dxa"/>
        <w:top w:w="0" w:type="dxa"/>
        <w:right w:w="0" w:type="dxa"/>
        <w:bottom w:w="0" w:type="dxa"/>
      </w:tblCellMar>
    </w:tblPr>
  </w:style>
  <w:style w:type="table" w:styleId="1159" w:customStyle="1">
    <w:name w:val="Grid Table 7 Colorful - Accent 1"/>
    <w:uiPriority w:val="99"/>
    <w:qFormat/>
    <w:tblPr>
      <w:tblCellMar>
        <w:left w:w="0" w:type="dxa"/>
        <w:top w:w="0" w:type="dxa"/>
        <w:right w:w="0" w:type="dxa"/>
        <w:bottom w:w="0" w:type="dxa"/>
      </w:tblCellMar>
    </w:tblPr>
  </w:style>
  <w:style w:type="table" w:styleId="1160" w:customStyle="1">
    <w:name w:val="List Table 5 Dark - Accent 4"/>
    <w:uiPriority w:val="99"/>
    <w:qFormat/>
    <w:tblPr>
      <w:tblCellMar>
        <w:left w:w="0" w:type="dxa"/>
        <w:top w:w="0" w:type="dxa"/>
        <w:right w:w="0" w:type="dxa"/>
        <w:bottom w:w="0" w:type="dxa"/>
      </w:tblCellMar>
    </w:tblPr>
  </w:style>
  <w:style w:type="table" w:styleId="1161" w:customStyle="1">
    <w:name w:val="List Table 2 - Accent 4"/>
    <w:uiPriority w:val="99"/>
    <w:qFormat/>
    <w:tblPr>
      <w:tblCellMar>
        <w:left w:w="0" w:type="dxa"/>
        <w:top w:w="0" w:type="dxa"/>
        <w:right w:w="0" w:type="dxa"/>
        <w:bottom w:w="0" w:type="dxa"/>
      </w:tblCellMar>
    </w:tblPr>
  </w:style>
  <w:style w:type="table" w:styleId="1162" w:customStyle="1">
    <w:name w:val="List Table 7 Colorful - Accent 5"/>
    <w:uiPriority w:val="99"/>
    <w:qFormat/>
    <w:tblPr>
      <w:tblCellMar>
        <w:left w:w="0" w:type="dxa"/>
        <w:top w:w="0" w:type="dxa"/>
        <w:right w:w="0" w:type="dxa"/>
        <w:bottom w:w="0" w:type="dxa"/>
      </w:tblCellMar>
    </w:tblPr>
  </w:style>
  <w:style w:type="table" w:styleId="1163" w:customStyle="1">
    <w:name w:val="Grid Table 4 - Accent 3"/>
    <w:uiPriority w:val="59"/>
    <w:qFormat/>
    <w:tblPr>
      <w:tblCellMar>
        <w:left w:w="0" w:type="dxa"/>
        <w:top w:w="0" w:type="dxa"/>
        <w:right w:w="0" w:type="dxa"/>
        <w:bottom w:w="0" w:type="dxa"/>
      </w:tblCellMar>
    </w:tblPr>
  </w:style>
  <w:style w:type="table" w:styleId="1164" w:customStyle="1">
    <w:name w:val="Bordered &amp; Lined - Accent 6"/>
    <w:uiPriority w:val="99"/>
    <w:qFormat/>
    <w:rPr>
      <w:color w:val="404040"/>
    </w:rPr>
    <w:tblPr>
      <w:tblCellMar>
        <w:left w:w="0" w:type="dxa"/>
        <w:top w:w="0" w:type="dxa"/>
        <w:right w:w="0" w:type="dxa"/>
        <w:bottom w:w="0" w:type="dxa"/>
      </w:tblCellMar>
    </w:tblPr>
  </w:style>
  <w:style w:type="table" w:styleId="1165" w:customStyle="1">
    <w:name w:val="Grid Table 7 Colorful - Accent 6"/>
    <w:uiPriority w:val="99"/>
    <w:qFormat/>
    <w:tblPr>
      <w:tblCellMar>
        <w:left w:w="0" w:type="dxa"/>
        <w:top w:w="0" w:type="dxa"/>
        <w:right w:w="0" w:type="dxa"/>
        <w:bottom w:w="0" w:type="dxa"/>
      </w:tblCellMar>
    </w:tblPr>
  </w:style>
  <w:style w:type="character" w:styleId="1166" w:customStyle="1">
    <w:name w:val="NormalCharacter"/>
    <w:link w:val="898"/>
    <w:uiPriority w:val="0"/>
    <w:semiHidden/>
    <w:qFormat/>
    <w:rPr>
      <w:rFonts w:hint="default" w:ascii="Times New Roman" w:hAnsi="Times New Roman" w:eastAsia="宋体" w:cs="Times New Roman"/>
      <w:sz w:val="21"/>
      <w:szCs w:val="24"/>
      <w:lang w:val="en-US" w:eastAsia="zh-CN" w:bidi="ar-SA"/>
    </w:rPr>
  </w:style>
  <w:style w:type="paragraph" w:styleId="1167" w:customStyle="1">
    <w:name w:val="正文112"/>
    <w:next w:val="897"/>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正文111"/>
    <w:next w:val="860"/>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正文文本缩进11"/>
    <w:next w:val="1170"/>
    <w:uiPriority w:val="0"/>
    <w:qFormat/>
    <w:pPr>
      <w:ind w:firstLine="301"/>
      <w:spacing w:line="200" w:lineRule="exact"/>
    </w:pPr>
    <w:rPr>
      <w:rFonts w:ascii="宋体" w:hAnsi="Courier New" w:eastAsia="宋体" w:cs="Times New Roman"/>
      <w:spacing w:val="-4"/>
      <w:sz w:val="18"/>
      <w:lang w:val="en-US" w:eastAsia="zh-CN" w:bidi="ar-SA"/>
    </w:rPr>
  </w:style>
  <w:style w:type="paragraph" w:styleId="1170" w:customStyle="1">
    <w:name w:val="寄信人地址11"/>
    <w:uiPriority w:val="0"/>
    <w:qFormat/>
    <w:pPr>
      <w:jc w:val="both"/>
    </w:pPr>
    <w:rPr>
      <w:rFonts w:ascii="Arial" w:hAnsi="Arial" w:eastAsia="宋体" w:cs="Times New Roman"/>
      <w:lang w:val="en-US" w:eastAsia="zh-CN" w:bidi="ar-SA"/>
    </w:rPr>
  </w:style>
  <w:style w:type="character" w:styleId="1171" w:customStyle="1">
    <w:name w:val="批注框文本 Char2"/>
    <w:basedOn w:val="870"/>
    <w:link w:val="880"/>
    <w:uiPriority w:val="99"/>
    <w:semiHidden/>
    <w:qFormat/>
    <w:rPr>
      <w:sz w:val="18"/>
      <w:szCs w:val="18"/>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李振</cp:lastModifiedBy>
  <cp:revision>7</cp:revision>
  <dcterms:created xsi:type="dcterms:W3CDTF">2025-11-10T02:14:00Z</dcterms:created>
  <dcterms:modified xsi:type="dcterms:W3CDTF">2025-12-08T08:17:10Z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951E8EE9444D4967A4E273F7BA80EC0C_13</vt:lpwstr>
  </property>
  <property fmtid="{D5CDD505-2E9C-101B-9397-08002B2CF9AE}" pid="4" name="KSOTemplateDocerSaveRecord">
    <vt:lpwstr>eyJoZGlkIjoiNDExNTg2N2VjODhmYjBjZjAzNWYzZWZmYzg1YTEzMTMiLCJ1c2VySWQiOiIxNTQ5OTc5ODgyIn0=</vt:lpwstr>
  </property>
</Properties>
</file>